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B3C" w:rsidRPr="00304B3C" w:rsidRDefault="00EE0C08" w:rsidP="00ED3D22">
      <w:pPr>
        <w:pStyle w:val="Heading1"/>
      </w:pPr>
      <w:r w:rsidRPr="00304B3C">
        <w:t>Data Protection</w:t>
      </w:r>
      <w:r w:rsidR="00D57572" w:rsidRPr="00304B3C">
        <w:t xml:space="preserve"> Policy</w:t>
      </w:r>
      <w:r w:rsidR="00304B3C" w:rsidRPr="00304B3C">
        <w:t xml:space="preserve"> Aston Students’ Union (ASU) </w:t>
      </w:r>
    </w:p>
    <w:p w:rsidR="00D57572" w:rsidRPr="007770F4" w:rsidRDefault="00D57572" w:rsidP="00D57572">
      <w:pPr>
        <w:rPr>
          <w:rFonts w:cs="Arial"/>
          <w:b/>
          <w:bCs/>
          <w:lang w:val="en-US"/>
        </w:rPr>
      </w:pPr>
    </w:p>
    <w:p w:rsidR="007770F4" w:rsidRDefault="003E4286" w:rsidP="003E4286">
      <w:pPr>
        <w:jc w:val="center"/>
        <w:rPr>
          <w:rFonts w:cs="Arial"/>
          <w:bCs/>
          <w:lang w:val="en-US"/>
        </w:rPr>
      </w:pPr>
      <w:r>
        <w:rPr>
          <w:rFonts w:cs="Arial"/>
          <w:bCs/>
          <w:noProof/>
          <w:lang w:eastAsia="en-GB"/>
        </w:rPr>
        <w:drawing>
          <wp:inline distT="0" distB="0" distL="0" distR="0" wp14:anchorId="1BC54EE6" wp14:editId="7B708DC4">
            <wp:extent cx="3838575" cy="133129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T186_Students Union Rebrand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5260" cy="1333614"/>
                    </a:xfrm>
                    <a:prstGeom prst="rect">
                      <a:avLst/>
                    </a:prstGeom>
                  </pic:spPr>
                </pic:pic>
              </a:graphicData>
            </a:graphic>
          </wp:inline>
        </w:drawing>
      </w:r>
    </w:p>
    <w:sdt>
      <w:sdtPr>
        <w:rPr>
          <w:rFonts w:ascii="Arial" w:eastAsiaTheme="minorHAnsi" w:hAnsi="Arial" w:cstheme="minorBidi"/>
          <w:color w:val="auto"/>
          <w:sz w:val="22"/>
          <w:szCs w:val="22"/>
          <w:lang w:val="en-GB"/>
        </w:rPr>
        <w:id w:val="-317194790"/>
        <w:docPartObj>
          <w:docPartGallery w:val="Table of Contents"/>
          <w:docPartUnique/>
        </w:docPartObj>
      </w:sdtPr>
      <w:sdtEndPr>
        <w:rPr>
          <w:rFonts w:asciiTheme="majorHAnsi" w:hAnsiTheme="majorHAnsi"/>
          <w:b/>
          <w:bCs/>
          <w:noProof/>
        </w:rPr>
      </w:sdtEndPr>
      <w:sdtContent>
        <w:p w:rsidR="0067289B" w:rsidRDefault="0067289B">
          <w:pPr>
            <w:pStyle w:val="TOCHeading"/>
          </w:pPr>
          <w:r>
            <w:t>Contents</w:t>
          </w:r>
        </w:p>
        <w:p w:rsidR="00ED3D22" w:rsidRDefault="0067289B" w:rsidP="00ED3D22">
          <w:pPr>
            <w:rPr>
              <w:rFonts w:asciiTheme="minorHAnsi" w:eastAsiaTheme="minorEastAsia" w:hAnsiTheme="minorHAnsi"/>
              <w:b/>
              <w:bCs/>
              <w:noProof/>
              <w:lang w:eastAsia="en-GB"/>
            </w:rPr>
          </w:pPr>
          <w:r w:rsidRPr="0067289B">
            <w:fldChar w:fldCharType="begin"/>
          </w:r>
          <w:r w:rsidRPr="0067289B">
            <w:instrText xml:space="preserve"> TOC \o "1-3" \h \z \u </w:instrText>
          </w:r>
          <w:r w:rsidRPr="0067289B">
            <w:fldChar w:fldCharType="separate"/>
          </w:r>
          <w:hyperlink w:anchor="_Toc514421195" w:history="1">
            <w:r w:rsidR="00ED3D22" w:rsidRPr="000D5159">
              <w:rPr>
                <w:rStyle w:val="Hyperlink"/>
                <w:noProof/>
              </w:rPr>
              <w:t>Definition of data protection terms</w:t>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fldChar w:fldCharType="begin"/>
            </w:r>
            <w:r w:rsidR="00ED3D22">
              <w:rPr>
                <w:noProof/>
                <w:webHidden/>
              </w:rPr>
              <w:instrText xml:space="preserve"> PAGEREF _Toc514421195 \h </w:instrText>
            </w:r>
            <w:r w:rsidR="00ED3D22">
              <w:rPr>
                <w:noProof/>
                <w:webHidden/>
              </w:rPr>
            </w:r>
            <w:r w:rsidR="00ED3D22">
              <w:rPr>
                <w:noProof/>
                <w:webHidden/>
              </w:rPr>
              <w:fldChar w:fldCharType="separate"/>
            </w:r>
            <w:r w:rsidR="00ED3D22">
              <w:rPr>
                <w:noProof/>
                <w:webHidden/>
              </w:rPr>
              <w:t>2</w:t>
            </w:r>
            <w:r w:rsidR="00ED3D22">
              <w:rPr>
                <w:noProof/>
                <w:webHidden/>
              </w:rPr>
              <w:fldChar w:fldCharType="end"/>
            </w:r>
          </w:hyperlink>
        </w:p>
        <w:p w:rsidR="00ED3D22" w:rsidRDefault="00432EE2" w:rsidP="00ED3D22">
          <w:pPr>
            <w:rPr>
              <w:rFonts w:asciiTheme="minorHAnsi" w:eastAsiaTheme="minorEastAsia" w:hAnsiTheme="minorHAnsi"/>
              <w:b/>
              <w:bCs/>
              <w:noProof/>
              <w:lang w:eastAsia="en-GB"/>
            </w:rPr>
          </w:pPr>
          <w:hyperlink w:anchor="_Toc514421196" w:history="1">
            <w:r w:rsidR="00ED3D22" w:rsidRPr="000D5159">
              <w:rPr>
                <w:rStyle w:val="Hyperlink"/>
                <w:noProof/>
              </w:rPr>
              <w:t>Policy Statement</w:t>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fldChar w:fldCharType="begin"/>
            </w:r>
            <w:r w:rsidR="00ED3D22">
              <w:rPr>
                <w:noProof/>
                <w:webHidden/>
              </w:rPr>
              <w:instrText xml:space="preserve"> PAGEREF _Toc514421196 \h </w:instrText>
            </w:r>
            <w:r w:rsidR="00ED3D22">
              <w:rPr>
                <w:noProof/>
                <w:webHidden/>
              </w:rPr>
            </w:r>
            <w:r w:rsidR="00ED3D22">
              <w:rPr>
                <w:noProof/>
                <w:webHidden/>
              </w:rPr>
              <w:fldChar w:fldCharType="separate"/>
            </w:r>
            <w:r w:rsidR="00ED3D22">
              <w:rPr>
                <w:noProof/>
                <w:webHidden/>
              </w:rPr>
              <w:t>3</w:t>
            </w:r>
            <w:r w:rsidR="00ED3D22">
              <w:rPr>
                <w:noProof/>
                <w:webHidden/>
              </w:rPr>
              <w:fldChar w:fldCharType="end"/>
            </w:r>
          </w:hyperlink>
        </w:p>
        <w:p w:rsidR="00ED3D22" w:rsidRDefault="00432EE2" w:rsidP="00ED3D22">
          <w:pPr>
            <w:rPr>
              <w:rFonts w:asciiTheme="minorHAnsi" w:eastAsiaTheme="minorEastAsia" w:hAnsiTheme="minorHAnsi"/>
              <w:noProof/>
              <w:lang w:eastAsia="en-GB"/>
            </w:rPr>
          </w:pPr>
          <w:hyperlink w:anchor="_Toc514421197" w:history="1">
            <w:r w:rsidR="00ED3D22" w:rsidRPr="000D5159">
              <w:rPr>
                <w:rStyle w:val="Hyperlink"/>
                <w:noProof/>
              </w:rPr>
              <w:t>Principles of Data Protection ASU adhere to:</w:t>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fldChar w:fldCharType="begin"/>
            </w:r>
            <w:r w:rsidR="00ED3D22">
              <w:rPr>
                <w:noProof/>
                <w:webHidden/>
              </w:rPr>
              <w:instrText xml:space="preserve"> PAGEREF _Toc514421197 \h </w:instrText>
            </w:r>
            <w:r w:rsidR="00ED3D22">
              <w:rPr>
                <w:noProof/>
                <w:webHidden/>
              </w:rPr>
            </w:r>
            <w:r w:rsidR="00ED3D22">
              <w:rPr>
                <w:noProof/>
                <w:webHidden/>
              </w:rPr>
              <w:fldChar w:fldCharType="separate"/>
            </w:r>
            <w:r w:rsidR="00ED3D22">
              <w:rPr>
                <w:noProof/>
                <w:webHidden/>
              </w:rPr>
              <w:t>3</w:t>
            </w:r>
            <w:r w:rsidR="00ED3D22">
              <w:rPr>
                <w:noProof/>
                <w:webHidden/>
              </w:rPr>
              <w:fldChar w:fldCharType="end"/>
            </w:r>
          </w:hyperlink>
        </w:p>
        <w:p w:rsidR="00ED3D22" w:rsidRDefault="00432EE2" w:rsidP="00ED3D22">
          <w:pPr>
            <w:rPr>
              <w:rFonts w:asciiTheme="minorHAnsi" w:eastAsiaTheme="minorEastAsia" w:hAnsiTheme="minorHAnsi"/>
              <w:b/>
              <w:bCs/>
              <w:noProof/>
              <w:lang w:eastAsia="en-GB"/>
            </w:rPr>
          </w:pPr>
          <w:hyperlink w:anchor="_Toc514421198" w:history="1">
            <w:r w:rsidR="00ED3D22" w:rsidRPr="000D5159">
              <w:rPr>
                <w:rStyle w:val="Hyperlink"/>
                <w:noProof/>
                <w:lang w:eastAsia="en-GB"/>
              </w:rPr>
              <w:t>The GDPR provides the following rights for individuals:</w:t>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fldChar w:fldCharType="begin"/>
            </w:r>
            <w:r w:rsidR="00ED3D22">
              <w:rPr>
                <w:noProof/>
                <w:webHidden/>
              </w:rPr>
              <w:instrText xml:space="preserve"> PAGEREF _Toc514421198 \h </w:instrText>
            </w:r>
            <w:r w:rsidR="00ED3D22">
              <w:rPr>
                <w:noProof/>
                <w:webHidden/>
              </w:rPr>
            </w:r>
            <w:r w:rsidR="00ED3D22">
              <w:rPr>
                <w:noProof/>
                <w:webHidden/>
              </w:rPr>
              <w:fldChar w:fldCharType="separate"/>
            </w:r>
            <w:r w:rsidR="00ED3D22">
              <w:rPr>
                <w:noProof/>
                <w:webHidden/>
              </w:rPr>
              <w:t>4</w:t>
            </w:r>
            <w:r w:rsidR="00ED3D22">
              <w:rPr>
                <w:noProof/>
                <w:webHidden/>
              </w:rPr>
              <w:fldChar w:fldCharType="end"/>
            </w:r>
          </w:hyperlink>
        </w:p>
        <w:p w:rsidR="00ED3D22" w:rsidRDefault="00432EE2" w:rsidP="00ED3D22">
          <w:pPr>
            <w:rPr>
              <w:rFonts w:asciiTheme="minorHAnsi" w:eastAsiaTheme="minorEastAsia" w:hAnsiTheme="minorHAnsi"/>
              <w:b/>
              <w:bCs/>
              <w:noProof/>
              <w:lang w:eastAsia="en-GB"/>
            </w:rPr>
          </w:pPr>
          <w:hyperlink w:anchor="_Toc514421199" w:history="1">
            <w:r w:rsidR="00ED3D22" w:rsidRPr="000D5159">
              <w:rPr>
                <w:rStyle w:val="Hyperlink"/>
                <w:noProof/>
              </w:rPr>
              <w:t>Accountability and Transparency</w:t>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fldChar w:fldCharType="begin"/>
            </w:r>
            <w:r w:rsidR="00ED3D22">
              <w:rPr>
                <w:noProof/>
                <w:webHidden/>
              </w:rPr>
              <w:instrText xml:space="preserve"> PAGEREF _Toc514421199 \h </w:instrText>
            </w:r>
            <w:r w:rsidR="00ED3D22">
              <w:rPr>
                <w:noProof/>
                <w:webHidden/>
              </w:rPr>
            </w:r>
            <w:r w:rsidR="00ED3D22">
              <w:rPr>
                <w:noProof/>
                <w:webHidden/>
              </w:rPr>
              <w:fldChar w:fldCharType="separate"/>
            </w:r>
            <w:r w:rsidR="00ED3D22">
              <w:rPr>
                <w:noProof/>
                <w:webHidden/>
              </w:rPr>
              <w:t>5</w:t>
            </w:r>
            <w:r w:rsidR="00ED3D22">
              <w:rPr>
                <w:noProof/>
                <w:webHidden/>
              </w:rPr>
              <w:fldChar w:fldCharType="end"/>
            </w:r>
          </w:hyperlink>
        </w:p>
        <w:p w:rsidR="00ED3D22" w:rsidRDefault="00432EE2" w:rsidP="00ED3D22">
          <w:pPr>
            <w:rPr>
              <w:rFonts w:asciiTheme="minorHAnsi" w:eastAsiaTheme="minorEastAsia" w:hAnsiTheme="minorHAnsi"/>
              <w:b/>
              <w:bCs/>
              <w:noProof/>
              <w:lang w:eastAsia="en-GB"/>
            </w:rPr>
          </w:pPr>
          <w:hyperlink w:anchor="_Toc514421200" w:history="1">
            <w:r w:rsidR="00ED3D22" w:rsidRPr="000D5159">
              <w:rPr>
                <w:rStyle w:val="Hyperlink"/>
                <w:noProof/>
              </w:rPr>
              <w:t>Data Processing within ASU</w:t>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fldChar w:fldCharType="begin"/>
            </w:r>
            <w:r w:rsidR="00ED3D22">
              <w:rPr>
                <w:noProof/>
                <w:webHidden/>
              </w:rPr>
              <w:instrText xml:space="preserve"> PAGEREF _Toc514421200 \h </w:instrText>
            </w:r>
            <w:r w:rsidR="00ED3D22">
              <w:rPr>
                <w:noProof/>
                <w:webHidden/>
              </w:rPr>
            </w:r>
            <w:r w:rsidR="00ED3D22">
              <w:rPr>
                <w:noProof/>
                <w:webHidden/>
              </w:rPr>
              <w:fldChar w:fldCharType="separate"/>
            </w:r>
            <w:r w:rsidR="00ED3D22">
              <w:rPr>
                <w:noProof/>
                <w:webHidden/>
              </w:rPr>
              <w:t>5</w:t>
            </w:r>
            <w:r w:rsidR="00ED3D22">
              <w:rPr>
                <w:noProof/>
                <w:webHidden/>
              </w:rPr>
              <w:fldChar w:fldCharType="end"/>
            </w:r>
          </w:hyperlink>
        </w:p>
        <w:p w:rsidR="00ED3D22" w:rsidRDefault="00432EE2" w:rsidP="00ED3D22">
          <w:pPr>
            <w:rPr>
              <w:rFonts w:asciiTheme="minorHAnsi" w:eastAsiaTheme="minorEastAsia" w:hAnsiTheme="minorHAnsi"/>
              <w:b/>
              <w:bCs/>
              <w:noProof/>
              <w:lang w:eastAsia="en-GB"/>
            </w:rPr>
          </w:pPr>
          <w:hyperlink w:anchor="_Toc514421201" w:history="1">
            <w:r w:rsidR="00ED3D22" w:rsidRPr="000D5159">
              <w:rPr>
                <w:rStyle w:val="Hyperlink"/>
                <w:noProof/>
              </w:rPr>
              <w:t>Data Usage: Summary</w:t>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fldChar w:fldCharType="begin"/>
            </w:r>
            <w:r w:rsidR="00ED3D22">
              <w:rPr>
                <w:noProof/>
                <w:webHidden/>
              </w:rPr>
              <w:instrText xml:space="preserve"> PAGEREF _Toc514421201 \h </w:instrText>
            </w:r>
            <w:r w:rsidR="00ED3D22">
              <w:rPr>
                <w:noProof/>
                <w:webHidden/>
              </w:rPr>
            </w:r>
            <w:r w:rsidR="00ED3D22">
              <w:rPr>
                <w:noProof/>
                <w:webHidden/>
              </w:rPr>
              <w:fldChar w:fldCharType="separate"/>
            </w:r>
            <w:r w:rsidR="00ED3D22">
              <w:rPr>
                <w:noProof/>
                <w:webHidden/>
              </w:rPr>
              <w:t>7</w:t>
            </w:r>
            <w:r w:rsidR="00ED3D22">
              <w:rPr>
                <w:noProof/>
                <w:webHidden/>
              </w:rPr>
              <w:fldChar w:fldCharType="end"/>
            </w:r>
          </w:hyperlink>
        </w:p>
        <w:p w:rsidR="00ED3D22" w:rsidRDefault="00432EE2" w:rsidP="00ED3D22">
          <w:pPr>
            <w:rPr>
              <w:rFonts w:asciiTheme="minorHAnsi" w:eastAsiaTheme="minorEastAsia" w:hAnsiTheme="minorHAnsi"/>
              <w:b/>
              <w:bCs/>
              <w:noProof/>
              <w:lang w:eastAsia="en-GB"/>
            </w:rPr>
          </w:pPr>
          <w:hyperlink w:anchor="_Toc514421202" w:history="1">
            <w:r w:rsidR="00ED3D22" w:rsidRPr="000D5159">
              <w:rPr>
                <w:rStyle w:val="Hyperlink"/>
                <w:noProof/>
              </w:rPr>
              <w:t>Data Protection Impact Assessment</w:t>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fldChar w:fldCharType="begin"/>
            </w:r>
            <w:r w:rsidR="00ED3D22">
              <w:rPr>
                <w:noProof/>
                <w:webHidden/>
              </w:rPr>
              <w:instrText xml:space="preserve"> PAGEREF _Toc514421202 \h </w:instrText>
            </w:r>
            <w:r w:rsidR="00ED3D22">
              <w:rPr>
                <w:noProof/>
                <w:webHidden/>
              </w:rPr>
            </w:r>
            <w:r w:rsidR="00ED3D22">
              <w:rPr>
                <w:noProof/>
                <w:webHidden/>
              </w:rPr>
              <w:fldChar w:fldCharType="separate"/>
            </w:r>
            <w:r w:rsidR="00ED3D22">
              <w:rPr>
                <w:noProof/>
                <w:webHidden/>
              </w:rPr>
              <w:t>8</w:t>
            </w:r>
            <w:r w:rsidR="00ED3D22">
              <w:rPr>
                <w:noProof/>
                <w:webHidden/>
              </w:rPr>
              <w:fldChar w:fldCharType="end"/>
            </w:r>
          </w:hyperlink>
        </w:p>
        <w:p w:rsidR="00ED3D22" w:rsidRDefault="00432EE2" w:rsidP="00ED3D22">
          <w:pPr>
            <w:rPr>
              <w:rFonts w:asciiTheme="minorHAnsi" w:eastAsiaTheme="minorEastAsia" w:hAnsiTheme="minorHAnsi"/>
              <w:b/>
              <w:bCs/>
              <w:noProof/>
              <w:lang w:eastAsia="en-GB"/>
            </w:rPr>
          </w:pPr>
          <w:hyperlink w:anchor="_Toc514421203" w:history="1">
            <w:r w:rsidR="00ED3D22" w:rsidRPr="000D5159">
              <w:rPr>
                <w:rStyle w:val="Hyperlink"/>
                <w:noProof/>
              </w:rPr>
              <w:t>Data Sharing, Data Security and Disposal</w:t>
            </w:r>
            <w:r w:rsidR="00ED3D22">
              <w:rPr>
                <w:rStyle w:val="Hyperlink"/>
                <w:noProof/>
              </w:rPr>
              <w:tab/>
            </w:r>
            <w:r w:rsidR="00ED3D22">
              <w:rPr>
                <w:rStyle w:val="Hyperlink"/>
                <w:noProof/>
              </w:rPr>
              <w:tab/>
            </w:r>
            <w:r w:rsidR="00ED3D22">
              <w:rPr>
                <w:rStyle w:val="Hyperlink"/>
                <w:noProof/>
              </w:rPr>
              <w:tab/>
            </w:r>
            <w:r w:rsidR="00ED3D22">
              <w:rPr>
                <w:rStyle w:val="Hyperlink"/>
                <w:noProof/>
              </w:rPr>
              <w:tab/>
            </w:r>
            <w:r w:rsidR="00ED3D22">
              <w:rPr>
                <w:rStyle w:val="Hyperlink"/>
                <w:noProof/>
              </w:rPr>
              <w:tab/>
            </w:r>
            <w:r w:rsidR="00ED3D22">
              <w:rPr>
                <w:rStyle w:val="Hyperlink"/>
                <w:noProof/>
              </w:rPr>
              <w:tab/>
            </w:r>
            <w:r w:rsidR="00ED3D22">
              <w:rPr>
                <w:rStyle w:val="Hyperlink"/>
                <w:noProof/>
              </w:rPr>
              <w:tab/>
            </w:r>
            <w:r w:rsidR="00ED3D22">
              <w:rPr>
                <w:noProof/>
                <w:webHidden/>
              </w:rPr>
              <w:tab/>
            </w:r>
            <w:r w:rsidR="00ED3D22">
              <w:rPr>
                <w:noProof/>
                <w:webHidden/>
              </w:rPr>
              <w:fldChar w:fldCharType="begin"/>
            </w:r>
            <w:r w:rsidR="00ED3D22">
              <w:rPr>
                <w:noProof/>
                <w:webHidden/>
              </w:rPr>
              <w:instrText xml:space="preserve"> PAGEREF _Toc514421203 \h </w:instrText>
            </w:r>
            <w:r w:rsidR="00ED3D22">
              <w:rPr>
                <w:noProof/>
                <w:webHidden/>
              </w:rPr>
            </w:r>
            <w:r w:rsidR="00ED3D22">
              <w:rPr>
                <w:noProof/>
                <w:webHidden/>
              </w:rPr>
              <w:fldChar w:fldCharType="separate"/>
            </w:r>
            <w:r w:rsidR="00ED3D22">
              <w:rPr>
                <w:noProof/>
                <w:webHidden/>
              </w:rPr>
              <w:t>8</w:t>
            </w:r>
            <w:r w:rsidR="00ED3D22">
              <w:rPr>
                <w:noProof/>
                <w:webHidden/>
              </w:rPr>
              <w:fldChar w:fldCharType="end"/>
            </w:r>
          </w:hyperlink>
        </w:p>
        <w:p w:rsidR="00ED3D22" w:rsidRDefault="00432EE2" w:rsidP="00ED3D22">
          <w:pPr>
            <w:rPr>
              <w:rFonts w:asciiTheme="minorHAnsi" w:eastAsiaTheme="minorEastAsia" w:hAnsiTheme="minorHAnsi"/>
              <w:b/>
              <w:bCs/>
              <w:noProof/>
              <w:lang w:eastAsia="en-GB"/>
            </w:rPr>
          </w:pPr>
          <w:hyperlink w:anchor="_Toc514421204" w:history="1">
            <w:r w:rsidR="00ED3D22" w:rsidRPr="000D5159">
              <w:rPr>
                <w:rStyle w:val="Hyperlink"/>
                <w:noProof/>
              </w:rPr>
              <w:t>Requests for Information</w:t>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fldChar w:fldCharType="begin"/>
            </w:r>
            <w:r w:rsidR="00ED3D22">
              <w:rPr>
                <w:noProof/>
                <w:webHidden/>
              </w:rPr>
              <w:instrText xml:space="preserve"> PAGEREF _Toc514421204 \h </w:instrText>
            </w:r>
            <w:r w:rsidR="00ED3D22">
              <w:rPr>
                <w:noProof/>
                <w:webHidden/>
              </w:rPr>
            </w:r>
            <w:r w:rsidR="00ED3D22">
              <w:rPr>
                <w:noProof/>
                <w:webHidden/>
              </w:rPr>
              <w:fldChar w:fldCharType="separate"/>
            </w:r>
            <w:r w:rsidR="00ED3D22">
              <w:rPr>
                <w:noProof/>
                <w:webHidden/>
              </w:rPr>
              <w:t>9</w:t>
            </w:r>
            <w:r w:rsidR="00ED3D22">
              <w:rPr>
                <w:noProof/>
                <w:webHidden/>
              </w:rPr>
              <w:fldChar w:fldCharType="end"/>
            </w:r>
          </w:hyperlink>
        </w:p>
        <w:p w:rsidR="00ED3D22" w:rsidRDefault="00432EE2" w:rsidP="00ED3D22">
          <w:pPr>
            <w:rPr>
              <w:rFonts w:asciiTheme="minorHAnsi" w:eastAsiaTheme="minorEastAsia" w:hAnsiTheme="minorHAnsi"/>
              <w:b/>
              <w:bCs/>
              <w:noProof/>
              <w:lang w:eastAsia="en-GB"/>
            </w:rPr>
          </w:pPr>
          <w:hyperlink w:anchor="_Toc514421205" w:history="1">
            <w:r w:rsidR="00ED3D22" w:rsidRPr="000D5159">
              <w:rPr>
                <w:rStyle w:val="Hyperlink"/>
                <w:noProof/>
              </w:rPr>
              <w:t>Complaints</w:t>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fldChar w:fldCharType="begin"/>
            </w:r>
            <w:r w:rsidR="00ED3D22">
              <w:rPr>
                <w:noProof/>
                <w:webHidden/>
              </w:rPr>
              <w:instrText xml:space="preserve"> PAGEREF _Toc514421205 \h </w:instrText>
            </w:r>
            <w:r w:rsidR="00ED3D22">
              <w:rPr>
                <w:noProof/>
                <w:webHidden/>
              </w:rPr>
            </w:r>
            <w:r w:rsidR="00ED3D22">
              <w:rPr>
                <w:noProof/>
                <w:webHidden/>
              </w:rPr>
              <w:fldChar w:fldCharType="separate"/>
            </w:r>
            <w:r w:rsidR="00ED3D22">
              <w:rPr>
                <w:noProof/>
                <w:webHidden/>
              </w:rPr>
              <w:t>9</w:t>
            </w:r>
            <w:r w:rsidR="00ED3D22">
              <w:rPr>
                <w:noProof/>
                <w:webHidden/>
              </w:rPr>
              <w:fldChar w:fldCharType="end"/>
            </w:r>
          </w:hyperlink>
        </w:p>
        <w:p w:rsidR="00ED3D22" w:rsidRDefault="00432EE2" w:rsidP="00ED3D22">
          <w:pPr>
            <w:rPr>
              <w:rFonts w:asciiTheme="minorHAnsi" w:eastAsiaTheme="minorEastAsia" w:hAnsiTheme="minorHAnsi"/>
              <w:noProof/>
              <w:lang w:eastAsia="en-GB"/>
            </w:rPr>
          </w:pPr>
          <w:hyperlink w:anchor="_Toc514421207" w:history="1">
            <w:r w:rsidR="00ED3D22" w:rsidRPr="000D5159">
              <w:rPr>
                <w:rStyle w:val="Hyperlink"/>
                <w:noProof/>
              </w:rPr>
              <w:t>Appendix A: Data Retention Schedule: Data Retention for Charities</w:t>
            </w:r>
            <w:r w:rsidR="00ED3D22">
              <w:rPr>
                <w:noProof/>
                <w:webHidden/>
              </w:rPr>
              <w:tab/>
            </w:r>
            <w:r w:rsidR="00ED3D22">
              <w:rPr>
                <w:noProof/>
                <w:webHidden/>
              </w:rPr>
              <w:tab/>
            </w:r>
            <w:r w:rsidR="00ED3D22">
              <w:rPr>
                <w:noProof/>
                <w:webHidden/>
              </w:rPr>
              <w:tab/>
            </w:r>
            <w:r w:rsidR="00ED3D22">
              <w:rPr>
                <w:noProof/>
                <w:webHidden/>
              </w:rPr>
              <w:tab/>
            </w:r>
            <w:r w:rsidR="00ED3D22">
              <w:rPr>
                <w:noProof/>
                <w:webHidden/>
              </w:rPr>
              <w:fldChar w:fldCharType="begin"/>
            </w:r>
            <w:r w:rsidR="00ED3D22">
              <w:rPr>
                <w:noProof/>
                <w:webHidden/>
              </w:rPr>
              <w:instrText xml:space="preserve"> PAGEREF _Toc514421207 \h </w:instrText>
            </w:r>
            <w:r w:rsidR="00ED3D22">
              <w:rPr>
                <w:noProof/>
                <w:webHidden/>
              </w:rPr>
            </w:r>
            <w:r w:rsidR="00ED3D22">
              <w:rPr>
                <w:noProof/>
                <w:webHidden/>
              </w:rPr>
              <w:fldChar w:fldCharType="separate"/>
            </w:r>
            <w:r w:rsidR="00ED3D22">
              <w:rPr>
                <w:noProof/>
                <w:webHidden/>
              </w:rPr>
              <w:t>10</w:t>
            </w:r>
            <w:r w:rsidR="00ED3D22">
              <w:rPr>
                <w:noProof/>
                <w:webHidden/>
              </w:rPr>
              <w:fldChar w:fldCharType="end"/>
            </w:r>
          </w:hyperlink>
        </w:p>
        <w:p w:rsidR="00ED3D22" w:rsidRDefault="00432EE2" w:rsidP="00ED3D22">
          <w:pPr>
            <w:rPr>
              <w:rFonts w:asciiTheme="minorHAnsi" w:eastAsiaTheme="minorEastAsia" w:hAnsiTheme="minorHAnsi"/>
              <w:noProof/>
              <w:lang w:eastAsia="en-GB"/>
            </w:rPr>
          </w:pPr>
          <w:hyperlink w:anchor="_Toc514421208" w:history="1">
            <w:r w:rsidR="00ED3D22" w:rsidRPr="000D5159">
              <w:rPr>
                <w:rStyle w:val="Hyperlink"/>
                <w:noProof/>
              </w:rPr>
              <w:t>Appendix B: Data Retention Schedule: HR/Finance/People related</w:t>
            </w:r>
            <w:r w:rsidR="00ED3D22">
              <w:rPr>
                <w:noProof/>
                <w:webHidden/>
              </w:rPr>
              <w:tab/>
            </w:r>
            <w:r w:rsidR="00ED3D22">
              <w:rPr>
                <w:noProof/>
                <w:webHidden/>
              </w:rPr>
              <w:tab/>
            </w:r>
            <w:r w:rsidR="00ED3D22">
              <w:rPr>
                <w:noProof/>
                <w:webHidden/>
              </w:rPr>
              <w:tab/>
            </w:r>
            <w:r w:rsidR="00ED3D22">
              <w:rPr>
                <w:noProof/>
                <w:webHidden/>
              </w:rPr>
              <w:tab/>
            </w:r>
            <w:r w:rsidR="00ED3D22">
              <w:rPr>
                <w:noProof/>
                <w:webHidden/>
              </w:rPr>
              <w:fldChar w:fldCharType="begin"/>
            </w:r>
            <w:r w:rsidR="00ED3D22">
              <w:rPr>
                <w:noProof/>
                <w:webHidden/>
              </w:rPr>
              <w:instrText xml:space="preserve"> PAGEREF _Toc514421208 \h </w:instrText>
            </w:r>
            <w:r w:rsidR="00ED3D22">
              <w:rPr>
                <w:noProof/>
                <w:webHidden/>
              </w:rPr>
            </w:r>
            <w:r w:rsidR="00ED3D22">
              <w:rPr>
                <w:noProof/>
                <w:webHidden/>
              </w:rPr>
              <w:fldChar w:fldCharType="separate"/>
            </w:r>
            <w:r w:rsidR="00ED3D22">
              <w:rPr>
                <w:noProof/>
                <w:webHidden/>
              </w:rPr>
              <w:t>12</w:t>
            </w:r>
            <w:r w:rsidR="00ED3D22">
              <w:rPr>
                <w:noProof/>
                <w:webHidden/>
              </w:rPr>
              <w:fldChar w:fldCharType="end"/>
            </w:r>
          </w:hyperlink>
        </w:p>
        <w:p w:rsidR="00ED3D22" w:rsidRDefault="00432EE2" w:rsidP="00ED3D22">
          <w:pPr>
            <w:rPr>
              <w:rFonts w:asciiTheme="minorHAnsi" w:eastAsiaTheme="minorEastAsia" w:hAnsiTheme="minorHAnsi"/>
              <w:noProof/>
              <w:lang w:eastAsia="en-GB"/>
            </w:rPr>
          </w:pPr>
          <w:hyperlink w:anchor="_Toc514421210" w:history="1">
            <w:r w:rsidR="00ED3D22" w:rsidRPr="000D5159">
              <w:rPr>
                <w:rStyle w:val="Hyperlink"/>
                <w:noProof/>
              </w:rPr>
              <w:t>Appendix C: Data Retention Schedule: Data Retention for Aston Students’ Union Activity</w:t>
            </w:r>
            <w:r w:rsidR="00ED3D22">
              <w:rPr>
                <w:noProof/>
                <w:webHidden/>
              </w:rPr>
              <w:tab/>
            </w:r>
            <w:r w:rsidR="00ED3D22">
              <w:rPr>
                <w:noProof/>
                <w:webHidden/>
              </w:rPr>
              <w:tab/>
            </w:r>
            <w:r w:rsidR="00ED3D22">
              <w:rPr>
                <w:noProof/>
                <w:webHidden/>
              </w:rPr>
              <w:fldChar w:fldCharType="begin"/>
            </w:r>
            <w:r w:rsidR="00ED3D22">
              <w:rPr>
                <w:noProof/>
                <w:webHidden/>
              </w:rPr>
              <w:instrText xml:space="preserve"> PAGEREF _Toc514421210 \h </w:instrText>
            </w:r>
            <w:r w:rsidR="00ED3D22">
              <w:rPr>
                <w:noProof/>
                <w:webHidden/>
              </w:rPr>
            </w:r>
            <w:r w:rsidR="00ED3D22">
              <w:rPr>
                <w:noProof/>
                <w:webHidden/>
              </w:rPr>
              <w:fldChar w:fldCharType="separate"/>
            </w:r>
            <w:r w:rsidR="00ED3D22">
              <w:rPr>
                <w:noProof/>
                <w:webHidden/>
              </w:rPr>
              <w:t>14</w:t>
            </w:r>
            <w:r w:rsidR="00ED3D22">
              <w:rPr>
                <w:noProof/>
                <w:webHidden/>
              </w:rPr>
              <w:fldChar w:fldCharType="end"/>
            </w:r>
          </w:hyperlink>
        </w:p>
        <w:p w:rsidR="00ED3D22" w:rsidRDefault="00432EE2" w:rsidP="00ED3D22">
          <w:pPr>
            <w:rPr>
              <w:rFonts w:asciiTheme="minorHAnsi" w:eastAsiaTheme="minorEastAsia" w:hAnsiTheme="minorHAnsi"/>
              <w:noProof/>
              <w:lang w:eastAsia="en-GB"/>
            </w:rPr>
          </w:pPr>
          <w:hyperlink w:anchor="_Toc514421211" w:history="1">
            <w:r w:rsidR="00ED3D22" w:rsidRPr="000D5159">
              <w:rPr>
                <w:rStyle w:val="Hyperlink"/>
                <w:noProof/>
              </w:rPr>
              <w:t>Appendix D: Guidelines for staff including Staff Checklist for Recording Data</w:t>
            </w:r>
            <w:r w:rsidR="00ED3D22">
              <w:rPr>
                <w:noProof/>
                <w:webHidden/>
              </w:rPr>
              <w:tab/>
            </w:r>
            <w:r w:rsidR="00ED3D22">
              <w:rPr>
                <w:noProof/>
                <w:webHidden/>
              </w:rPr>
              <w:tab/>
            </w:r>
            <w:r w:rsidR="00ED3D22">
              <w:rPr>
                <w:noProof/>
                <w:webHidden/>
              </w:rPr>
              <w:tab/>
            </w:r>
            <w:r w:rsidR="00ED3D22">
              <w:rPr>
                <w:noProof/>
                <w:webHidden/>
              </w:rPr>
              <w:fldChar w:fldCharType="begin"/>
            </w:r>
            <w:r w:rsidR="00ED3D22">
              <w:rPr>
                <w:noProof/>
                <w:webHidden/>
              </w:rPr>
              <w:instrText xml:space="preserve"> PAGEREF _Toc514421211 \h </w:instrText>
            </w:r>
            <w:r w:rsidR="00ED3D22">
              <w:rPr>
                <w:noProof/>
                <w:webHidden/>
              </w:rPr>
            </w:r>
            <w:r w:rsidR="00ED3D22">
              <w:rPr>
                <w:noProof/>
                <w:webHidden/>
              </w:rPr>
              <w:fldChar w:fldCharType="separate"/>
            </w:r>
            <w:r w:rsidR="00ED3D22">
              <w:rPr>
                <w:noProof/>
                <w:webHidden/>
              </w:rPr>
              <w:t>15</w:t>
            </w:r>
            <w:r w:rsidR="00ED3D22">
              <w:rPr>
                <w:noProof/>
                <w:webHidden/>
              </w:rPr>
              <w:fldChar w:fldCharType="end"/>
            </w:r>
          </w:hyperlink>
        </w:p>
        <w:p w:rsidR="00ED3D22" w:rsidRDefault="001D608A" w:rsidP="00ED3D22">
          <w:pPr>
            <w:rPr>
              <w:rFonts w:asciiTheme="minorHAnsi" w:eastAsiaTheme="minorEastAsia" w:hAnsiTheme="minorHAnsi"/>
              <w:noProof/>
              <w:lang w:eastAsia="en-GB"/>
            </w:rPr>
          </w:pPr>
          <w:hyperlink w:anchor="_Toc514421212" w:history="1">
            <w:r w:rsidR="00ED3D22" w:rsidRPr="000D5159">
              <w:rPr>
                <w:rStyle w:val="Hyperlink"/>
                <w:noProof/>
              </w:rPr>
              <w:t>Appendix E</w:t>
            </w:r>
            <w:r w:rsidR="00FB11D7">
              <w:rPr>
                <w:rStyle w:val="Hyperlink"/>
                <w:noProof/>
              </w:rPr>
              <w:t>:</w:t>
            </w:r>
            <w:r w:rsidR="00ED3D22" w:rsidRPr="000D5159">
              <w:rPr>
                <w:rStyle w:val="Hyperlink"/>
                <w:noProof/>
              </w:rPr>
              <w:t xml:space="preserve"> Data Protection Impact Assessment</w:t>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tab/>
            </w:r>
            <w:r w:rsidR="00ED3D22">
              <w:rPr>
                <w:noProof/>
                <w:webHidden/>
              </w:rPr>
              <w:fldChar w:fldCharType="begin"/>
            </w:r>
            <w:r w:rsidR="00ED3D22">
              <w:rPr>
                <w:noProof/>
                <w:webHidden/>
              </w:rPr>
              <w:instrText xml:space="preserve"> PAGEREF _Toc514421212 \h </w:instrText>
            </w:r>
            <w:r w:rsidR="00ED3D22">
              <w:rPr>
                <w:noProof/>
                <w:webHidden/>
              </w:rPr>
            </w:r>
            <w:r w:rsidR="00ED3D22">
              <w:rPr>
                <w:noProof/>
                <w:webHidden/>
              </w:rPr>
              <w:fldChar w:fldCharType="separate"/>
            </w:r>
            <w:r w:rsidR="00ED3D22">
              <w:rPr>
                <w:noProof/>
                <w:webHidden/>
              </w:rPr>
              <w:t>16</w:t>
            </w:r>
            <w:r w:rsidR="00ED3D22">
              <w:rPr>
                <w:noProof/>
                <w:webHidden/>
              </w:rPr>
              <w:fldChar w:fldCharType="end"/>
            </w:r>
          </w:hyperlink>
        </w:p>
        <w:p w:rsidR="0067289B" w:rsidRDefault="0067289B" w:rsidP="00ED3D22">
          <w:r w:rsidRPr="0067289B">
            <w:rPr>
              <w:b/>
              <w:bCs/>
              <w:noProof/>
            </w:rPr>
            <w:fldChar w:fldCharType="end"/>
          </w:r>
        </w:p>
      </w:sdtContent>
    </w:sdt>
    <w:p w:rsidR="00D57572" w:rsidRDefault="00D57572" w:rsidP="00D57572">
      <w:pPr>
        <w:rPr>
          <w:rFonts w:cs="Arial"/>
          <w:lang w:val="en-US"/>
        </w:rPr>
      </w:pPr>
    </w:p>
    <w:p w:rsidR="00C021D8" w:rsidRDefault="00C021D8" w:rsidP="00EE0C08">
      <w:pPr>
        <w:rPr>
          <w:rFonts w:cs="Arial"/>
          <w:bCs/>
        </w:rPr>
      </w:pPr>
    </w:p>
    <w:p w:rsidR="000B1A3E" w:rsidRDefault="000B1A3E">
      <w:pPr>
        <w:rPr>
          <w:rFonts w:cs="Arial"/>
          <w:b/>
          <w:bCs/>
        </w:rPr>
      </w:pPr>
      <w:bookmarkStart w:id="0" w:name="a404188"/>
      <w:bookmarkStart w:id="1" w:name="_Toc359779829"/>
      <w:r>
        <w:rPr>
          <w:rFonts w:cs="Arial"/>
          <w:b/>
          <w:bCs/>
        </w:rPr>
        <w:br w:type="page"/>
      </w:r>
    </w:p>
    <w:p w:rsidR="00C021D8" w:rsidRDefault="00C021D8" w:rsidP="007770F4">
      <w:pPr>
        <w:pStyle w:val="Heading1"/>
      </w:pPr>
      <w:bookmarkStart w:id="2" w:name="_Toc514421195"/>
      <w:r w:rsidRPr="00C021D8">
        <w:lastRenderedPageBreak/>
        <w:t>Definition of data protection terms</w:t>
      </w:r>
      <w:bookmarkEnd w:id="0"/>
      <w:bookmarkEnd w:id="1"/>
      <w:bookmarkEnd w:id="2"/>
    </w:p>
    <w:p w:rsidR="00C021D8" w:rsidRPr="00C021D8" w:rsidRDefault="00C021D8" w:rsidP="004F4EFF">
      <w:r w:rsidRPr="00C021D8">
        <w:rPr>
          <w:b/>
        </w:rPr>
        <w:t>“Data”</w:t>
      </w:r>
      <w:r w:rsidRPr="00C021D8">
        <w:t xml:space="preserve"> is </w:t>
      </w:r>
      <w:r w:rsidR="004F4EFF" w:rsidRPr="00C021D8">
        <w:t>information that</w:t>
      </w:r>
      <w:r w:rsidRPr="00C021D8">
        <w:t xml:space="preserve"> is stored electronically, on a computer, or in certain paper-based filing systems.</w:t>
      </w:r>
    </w:p>
    <w:p w:rsidR="00C021D8" w:rsidRPr="00C021D8" w:rsidRDefault="00C021D8" w:rsidP="004F4EFF">
      <w:r w:rsidRPr="00C021D8">
        <w:rPr>
          <w:b/>
        </w:rPr>
        <w:t>“Data subjects”</w:t>
      </w:r>
      <w:r w:rsidRPr="00C021D8">
        <w:t xml:space="preserve"> </w:t>
      </w:r>
      <w:proofErr w:type="gramStart"/>
      <w:r w:rsidRPr="00C021D8">
        <w:t>for the purpose of</w:t>
      </w:r>
      <w:proofErr w:type="gramEnd"/>
      <w:r w:rsidRPr="00C021D8">
        <w:t xml:space="preserve"> this policy include all living individuals about whom we hold personal data. A data subject need not be a UK national or resident. All data subjects have legal rights in relation to their personal data.</w:t>
      </w:r>
    </w:p>
    <w:p w:rsidR="00F25CCB" w:rsidRPr="00EE0C08" w:rsidRDefault="00C021D8" w:rsidP="004F4EFF">
      <w:r w:rsidRPr="00C021D8">
        <w:rPr>
          <w:b/>
        </w:rPr>
        <w:t>“Personal data”</w:t>
      </w:r>
      <w:r w:rsidRPr="00C021D8">
        <w:t xml:space="preserve"> means data relating to a living individual who can be identified from that data (or from that data and other information in our possession).  Personal data can be factual (such as a name, address or date of birth) or it can be an opinion (such as a performance appraisal</w:t>
      </w:r>
      <w:r w:rsidR="00EA6494">
        <w:t xml:space="preserve"> and </w:t>
      </w:r>
      <w:r w:rsidR="00F25CCB" w:rsidRPr="00EE0C08">
        <w:t>opinions and comments recorded in our files</w:t>
      </w:r>
      <w:r w:rsidR="004F4EFF">
        <w:t>)</w:t>
      </w:r>
      <w:r w:rsidR="00F25CCB" w:rsidRPr="00EE0C08">
        <w:t xml:space="preserve">. </w:t>
      </w:r>
    </w:p>
    <w:p w:rsidR="00C021D8" w:rsidRPr="00C021D8" w:rsidRDefault="00C021D8" w:rsidP="004F4EFF">
      <w:r w:rsidRPr="00C021D8">
        <w:rPr>
          <w:b/>
        </w:rPr>
        <w:t>“Data controllers”</w:t>
      </w:r>
      <w:r w:rsidRPr="00C021D8">
        <w:t xml:space="preserve"> are the people </w:t>
      </w:r>
      <w:r w:rsidR="004F4EFF">
        <w:t xml:space="preserve">or </w:t>
      </w:r>
      <w:r w:rsidR="004F4EFF" w:rsidRPr="00C021D8">
        <w:t>organisations, which</w:t>
      </w:r>
      <w:r w:rsidRPr="00C021D8">
        <w:t xml:space="preserve"> determine the purposes for which, and the </w:t>
      </w:r>
      <w:proofErr w:type="gramStart"/>
      <w:r w:rsidRPr="00C021D8">
        <w:t>manner in which</w:t>
      </w:r>
      <w:proofErr w:type="gramEnd"/>
      <w:r w:rsidRPr="00C021D8">
        <w:t xml:space="preserve">, any personal data is processed.  They have a responsibility to establish practices and policies in line with the </w:t>
      </w:r>
      <w:r w:rsidR="00FB11D7">
        <w:t xml:space="preserve">Data Protection </w:t>
      </w:r>
      <w:r w:rsidRPr="00C021D8">
        <w:t xml:space="preserve">Act. We are the data controller of all personal data used in our </w:t>
      </w:r>
      <w:r w:rsidR="004F4EFF">
        <w:t>organisation</w:t>
      </w:r>
      <w:r w:rsidRPr="00C021D8">
        <w:t>.</w:t>
      </w:r>
    </w:p>
    <w:p w:rsidR="00C021D8" w:rsidRPr="00C021D8" w:rsidRDefault="00C021D8" w:rsidP="004F4EFF">
      <w:r w:rsidRPr="00C021D8">
        <w:rPr>
          <w:b/>
        </w:rPr>
        <w:t>“Data users”</w:t>
      </w:r>
      <w:r w:rsidRPr="00C021D8">
        <w:t xml:space="preserve"> include employees whose work involves using personal data.  Data users have a duty to protect the information they handle by following our data protection and security policies </w:t>
      </w:r>
      <w:proofErr w:type="gramStart"/>
      <w:r w:rsidRPr="00C021D8">
        <w:t>at all times</w:t>
      </w:r>
      <w:proofErr w:type="gramEnd"/>
      <w:r w:rsidRPr="00C021D8">
        <w:t>.</w:t>
      </w:r>
    </w:p>
    <w:p w:rsidR="00C021D8" w:rsidRPr="00C021D8" w:rsidRDefault="00C021D8" w:rsidP="004F4EFF">
      <w:r w:rsidRPr="00C021D8">
        <w:rPr>
          <w:b/>
        </w:rPr>
        <w:t>“Data processors”</w:t>
      </w:r>
      <w:r w:rsidRPr="00C021D8">
        <w:t xml:space="preserve"> include any person who processes personal data on behalf of a data controller. Employees of data controllers are excluded from this </w:t>
      </w:r>
      <w:proofErr w:type="gramStart"/>
      <w:r w:rsidRPr="00C021D8">
        <w:t>definition</w:t>
      </w:r>
      <w:proofErr w:type="gramEnd"/>
      <w:r w:rsidRPr="00C021D8">
        <w:t xml:space="preserve"> but it could include </w:t>
      </w:r>
      <w:r w:rsidR="004F4EFF" w:rsidRPr="00C021D8">
        <w:t>suppliers that</w:t>
      </w:r>
      <w:r w:rsidRPr="00C021D8">
        <w:t xml:space="preserve"> handle personal data on our behalf.</w:t>
      </w:r>
    </w:p>
    <w:p w:rsidR="001906C1" w:rsidRDefault="00C021D8" w:rsidP="004F4EFF">
      <w:r w:rsidRPr="00C021D8">
        <w:rPr>
          <w:b/>
        </w:rPr>
        <w:t>“Processing”</w:t>
      </w:r>
      <w:r w:rsidRPr="00C021D8">
        <w:t xml:space="preserve"> is any activity that involves use of the data.  It includes obtaining, recording or holding the data, or carrying out any operation or set of operations on the data including organising, amending, retrieving, using, disclosing, erasing or destroying it.  Processing also includes transferring</w:t>
      </w:r>
      <w:r w:rsidR="001906C1">
        <w:t xml:space="preserve"> personal data to third parties</w:t>
      </w:r>
      <w:r w:rsidR="00FB11D7">
        <w:t>.</w:t>
      </w:r>
    </w:p>
    <w:p w:rsidR="00C021D8" w:rsidRDefault="00C021D8" w:rsidP="004F4EFF">
      <w:r w:rsidRPr="00C021D8">
        <w:rPr>
          <w:b/>
        </w:rPr>
        <w:t>“Sensitive personal data”</w:t>
      </w:r>
      <w:r w:rsidRPr="00C021D8">
        <w:t xml:space="preserve"> includes information about a person’s racial or ethnic origin, political opinions, religious or similar beliefs, trade union membership, physical or mental health or condition or sexual life, or about the commission of, or proceedings for, any offence committed or alleged to have been committed by that person, the disposal of such proceedings or the sentence of any court in such proceedings.  </w:t>
      </w:r>
      <w:proofErr w:type="gramStart"/>
      <w:r w:rsidR="00F25CCB" w:rsidRPr="00EE0C08">
        <w:t>Generally speaking, sensitive</w:t>
      </w:r>
      <w:proofErr w:type="gramEnd"/>
      <w:r w:rsidR="00F25CCB" w:rsidRPr="00EE0C08">
        <w:t xml:space="preserve"> personal data should only be processed with the explicit consent of their sub</w:t>
      </w:r>
      <w:r w:rsidR="00F25CCB">
        <w:t>ject, or where required by law.</w:t>
      </w:r>
    </w:p>
    <w:p w:rsidR="00ED7CCF" w:rsidRPr="00C021D8" w:rsidRDefault="00ED7CCF" w:rsidP="00C021D8">
      <w:pPr>
        <w:rPr>
          <w:rFonts w:cs="Arial"/>
          <w:bCs/>
        </w:rPr>
      </w:pPr>
    </w:p>
    <w:p w:rsidR="006602EF" w:rsidRDefault="006602EF">
      <w:pPr>
        <w:rPr>
          <w:rFonts w:ascii="Verdana" w:eastAsia="Times New Roman" w:hAnsi="Verdana" w:cs="Times New Roman"/>
          <w:b/>
          <w:bCs/>
          <w:kern w:val="32"/>
          <w:sz w:val="24"/>
          <w:szCs w:val="32"/>
          <w:lang w:val="en-US"/>
        </w:rPr>
      </w:pPr>
      <w:r>
        <w:br w:type="page"/>
      </w:r>
    </w:p>
    <w:p w:rsidR="00EE0C08" w:rsidRPr="00EE0C08" w:rsidRDefault="00EE0C08" w:rsidP="007770F4">
      <w:pPr>
        <w:pStyle w:val="Heading1"/>
      </w:pPr>
      <w:bookmarkStart w:id="3" w:name="_Toc514421196"/>
      <w:r w:rsidRPr="00EE0C08">
        <w:lastRenderedPageBreak/>
        <w:t>Policy Statement</w:t>
      </w:r>
      <w:bookmarkEnd w:id="3"/>
      <w:r w:rsidRPr="00EE0C08">
        <w:t xml:space="preserve"> </w:t>
      </w:r>
    </w:p>
    <w:p w:rsidR="00EE0C08" w:rsidRDefault="000B1A3E" w:rsidP="00EE0C08">
      <w:pPr>
        <w:tabs>
          <w:tab w:val="num" w:pos="1031"/>
        </w:tabs>
        <w:rPr>
          <w:rFonts w:cs="Arial"/>
        </w:rPr>
      </w:pPr>
      <w:r>
        <w:rPr>
          <w:rFonts w:cs="Arial"/>
        </w:rPr>
        <w:t>Aston Students’ Union</w:t>
      </w:r>
      <w:r w:rsidR="00EE0C08">
        <w:rPr>
          <w:rFonts w:cs="Arial"/>
        </w:rPr>
        <w:t xml:space="preserve"> (</w:t>
      </w:r>
      <w:r>
        <w:rPr>
          <w:rFonts w:cs="Arial"/>
        </w:rPr>
        <w:t>ASU</w:t>
      </w:r>
      <w:r w:rsidR="00EE0C08">
        <w:rPr>
          <w:rFonts w:cs="Arial"/>
        </w:rPr>
        <w:t xml:space="preserve">) </w:t>
      </w:r>
      <w:r w:rsidR="00EE0C08" w:rsidRPr="00EE0C08">
        <w:rPr>
          <w:rFonts w:cs="Arial"/>
        </w:rPr>
        <w:t>recognise</w:t>
      </w:r>
      <w:r>
        <w:rPr>
          <w:rFonts w:cs="Arial"/>
        </w:rPr>
        <w:t>s</w:t>
      </w:r>
      <w:r w:rsidR="00EE0C08" w:rsidRPr="00EE0C08">
        <w:rPr>
          <w:rFonts w:cs="Arial"/>
        </w:rPr>
        <w:t xml:space="preserve"> that our members, and others, have the right to know what data we hold about them, and that any data held </w:t>
      </w:r>
      <w:proofErr w:type="gramStart"/>
      <w:r w:rsidR="00EE0C08" w:rsidRPr="00EE0C08">
        <w:rPr>
          <w:rFonts w:cs="Arial"/>
        </w:rPr>
        <w:t>is in compliance with</w:t>
      </w:r>
      <w:proofErr w:type="gramEnd"/>
      <w:r w:rsidR="00EE0C08" w:rsidRPr="00EE0C08">
        <w:rPr>
          <w:rFonts w:cs="Arial"/>
        </w:rPr>
        <w:t xml:space="preserve"> the Data Protection Act (the Act). We process personal information about our members and staff in accordance with t</w:t>
      </w:r>
      <w:r w:rsidR="00EE0C08">
        <w:rPr>
          <w:rFonts w:cs="Arial"/>
        </w:rPr>
        <w:t xml:space="preserve">he </w:t>
      </w:r>
      <w:r w:rsidR="00C51D17">
        <w:rPr>
          <w:rFonts w:cs="Arial"/>
        </w:rPr>
        <w:t xml:space="preserve">six </w:t>
      </w:r>
      <w:r w:rsidR="004F4EFF">
        <w:rPr>
          <w:rFonts w:cs="Arial"/>
        </w:rPr>
        <w:t>principl</w:t>
      </w:r>
      <w:r w:rsidR="00FB11D7">
        <w:rPr>
          <w:rFonts w:cs="Arial"/>
        </w:rPr>
        <w:t>e</w:t>
      </w:r>
      <w:r w:rsidR="004F4EFF">
        <w:rPr>
          <w:rFonts w:cs="Arial"/>
        </w:rPr>
        <w:t xml:space="preserve">s of the </w:t>
      </w:r>
      <w:r w:rsidR="00C51D17">
        <w:rPr>
          <w:rFonts w:cs="Arial"/>
        </w:rPr>
        <w:t>Data Protection</w:t>
      </w:r>
      <w:r w:rsidR="00EE0C08">
        <w:rPr>
          <w:rFonts w:cs="Arial"/>
        </w:rPr>
        <w:t xml:space="preserve"> Act.</w:t>
      </w:r>
    </w:p>
    <w:p w:rsidR="00EE0C08" w:rsidRPr="004F4EFF" w:rsidRDefault="00EE0C08" w:rsidP="004F4EFF">
      <w:pPr>
        <w:pStyle w:val="Heading2"/>
      </w:pPr>
      <w:bookmarkStart w:id="4" w:name="_Toc514421197"/>
      <w:r w:rsidRPr="004F4EFF">
        <w:t>Principles of Data Protection</w:t>
      </w:r>
      <w:r w:rsidR="00F25CCB" w:rsidRPr="004F4EFF">
        <w:t xml:space="preserve"> ASU adhere to:</w:t>
      </w:r>
      <w:bookmarkEnd w:id="4"/>
    </w:p>
    <w:p w:rsidR="00F25CCB" w:rsidRPr="00F25CCB" w:rsidRDefault="00F25CCB" w:rsidP="00C51D17">
      <w:pPr>
        <w:pStyle w:val="ListParagraph"/>
        <w:numPr>
          <w:ilvl w:val="0"/>
          <w:numId w:val="26"/>
        </w:numPr>
        <w:rPr>
          <w:b/>
        </w:rPr>
      </w:pPr>
      <w:r w:rsidRPr="00F25CCB">
        <w:rPr>
          <w:b/>
        </w:rPr>
        <w:t xml:space="preserve">Children’s Personal Data  </w:t>
      </w:r>
    </w:p>
    <w:p w:rsidR="00F25CCB" w:rsidRDefault="00F25CCB" w:rsidP="00F25CCB">
      <w:pPr>
        <w:ind w:left="360"/>
      </w:pPr>
      <w:r>
        <w:t>When services are offered directly to a child, an organisation must ensure that their privacy notice is written clearly and in way that a child can understand</w:t>
      </w:r>
      <w:r w:rsidR="004F4EFF">
        <w:t>.</w:t>
      </w:r>
    </w:p>
    <w:p w:rsidR="00F25CCB" w:rsidRPr="00F25CCB" w:rsidRDefault="00F25CCB" w:rsidP="00C51D17">
      <w:pPr>
        <w:pStyle w:val="ListParagraph"/>
        <w:numPr>
          <w:ilvl w:val="0"/>
          <w:numId w:val="26"/>
        </w:numPr>
        <w:rPr>
          <w:b/>
        </w:rPr>
      </w:pPr>
      <w:r w:rsidRPr="00F25CCB">
        <w:rPr>
          <w:b/>
        </w:rPr>
        <w:t>Legitimate use of Personal Data</w:t>
      </w:r>
    </w:p>
    <w:p w:rsidR="00C51D17" w:rsidRDefault="00C51D17" w:rsidP="00F25CCB">
      <w:pPr>
        <w:ind w:left="360"/>
      </w:pPr>
      <w:r>
        <w:t>Personal Data can only be obtained for the specific, explicit and legitimate purposes and can then only be processed for that purpose. It cannot be processed for another purpose without the further consent</w:t>
      </w:r>
      <w:r w:rsidR="00F25CCB">
        <w:t xml:space="preserve"> from the data subject.</w:t>
      </w:r>
      <w:r w:rsidR="00F25CCB" w:rsidRPr="00F25CCB">
        <w:rPr>
          <w:rFonts w:cs="Arial"/>
        </w:rPr>
        <w:t xml:space="preserve"> </w:t>
      </w:r>
      <w:r w:rsidR="00F25CCB">
        <w:rPr>
          <w:rFonts w:cs="Arial"/>
        </w:rPr>
        <w:t>Personal Information must be processed in line with the data subject’s rights, under the Act.</w:t>
      </w:r>
    </w:p>
    <w:p w:rsidR="00F25CCB" w:rsidRPr="00F25CCB" w:rsidRDefault="00F25CCB" w:rsidP="00C51D17">
      <w:pPr>
        <w:pStyle w:val="ListParagraph"/>
        <w:numPr>
          <w:ilvl w:val="0"/>
          <w:numId w:val="26"/>
        </w:numPr>
        <w:rPr>
          <w:b/>
        </w:rPr>
      </w:pPr>
      <w:r w:rsidRPr="00F25CCB">
        <w:rPr>
          <w:b/>
        </w:rPr>
        <w:t>Data Minimisation</w:t>
      </w:r>
    </w:p>
    <w:p w:rsidR="00C51D17" w:rsidRDefault="00C51D17" w:rsidP="00F25CCB">
      <w:pPr>
        <w:ind w:left="360"/>
      </w:pPr>
      <w:r>
        <w:t xml:space="preserve">Personal data collected on an individual should be adequate, relevant and limited to what is necessary. In other </w:t>
      </w:r>
      <w:r w:rsidR="00FB11D7">
        <w:t>words,</w:t>
      </w:r>
      <w:r>
        <w:t xml:space="preserve"> no more than the minimum amount of personal data should be kept for specific processing</w:t>
      </w:r>
      <w:r w:rsidR="004F4EFF">
        <w:t>.</w:t>
      </w:r>
    </w:p>
    <w:p w:rsidR="00F25CCB" w:rsidRPr="00F25CCB" w:rsidRDefault="00F25CCB" w:rsidP="00C51D17">
      <w:pPr>
        <w:pStyle w:val="ListParagraph"/>
        <w:numPr>
          <w:ilvl w:val="0"/>
          <w:numId w:val="26"/>
        </w:numPr>
        <w:rPr>
          <w:b/>
        </w:rPr>
      </w:pPr>
      <w:r w:rsidRPr="00F25CCB">
        <w:rPr>
          <w:b/>
        </w:rPr>
        <w:t>Accuracy</w:t>
      </w:r>
    </w:p>
    <w:p w:rsidR="00C51D17" w:rsidRDefault="00F25CCB" w:rsidP="00F25CCB">
      <w:pPr>
        <w:ind w:left="360"/>
        <w:rPr>
          <w:rFonts w:cs="Arial"/>
        </w:rPr>
      </w:pPr>
      <w:r>
        <w:rPr>
          <w:rFonts w:cs="Arial"/>
        </w:rPr>
        <w:t>Personal information must be accurate and up to date</w:t>
      </w:r>
      <w:r w:rsidR="004F4EFF">
        <w:rPr>
          <w:rFonts w:cs="Arial"/>
        </w:rPr>
        <w:t>.</w:t>
      </w:r>
    </w:p>
    <w:p w:rsidR="00F25CCB" w:rsidRPr="00F25CCB" w:rsidRDefault="00F25CCB" w:rsidP="00F25CCB">
      <w:pPr>
        <w:pStyle w:val="ListParagraph"/>
        <w:numPr>
          <w:ilvl w:val="0"/>
          <w:numId w:val="26"/>
        </w:numPr>
        <w:rPr>
          <w:rFonts w:cs="Arial"/>
          <w:b/>
        </w:rPr>
      </w:pPr>
      <w:r w:rsidRPr="00F25CCB">
        <w:rPr>
          <w:rFonts w:cs="Arial"/>
          <w:b/>
        </w:rPr>
        <w:t xml:space="preserve">Storage </w:t>
      </w:r>
      <w:r>
        <w:rPr>
          <w:rFonts w:cs="Arial"/>
          <w:b/>
        </w:rPr>
        <w:t>of Data and its l</w:t>
      </w:r>
      <w:r w:rsidRPr="00F25CCB">
        <w:rPr>
          <w:rFonts w:cs="Arial"/>
          <w:b/>
        </w:rPr>
        <w:t>imitation</w:t>
      </w:r>
    </w:p>
    <w:p w:rsidR="00F25CCB" w:rsidRDefault="00F25CCB" w:rsidP="00F25CCB">
      <w:pPr>
        <w:ind w:left="360"/>
        <w:rPr>
          <w:rFonts w:cs="Arial"/>
        </w:rPr>
      </w:pPr>
      <w:r>
        <w:rPr>
          <w:rFonts w:cs="Arial"/>
        </w:rPr>
        <w:t>Personal information must not be kept for longer than is necessary</w:t>
      </w:r>
      <w:r w:rsidR="004F4EFF">
        <w:rPr>
          <w:rFonts w:cs="Arial"/>
        </w:rPr>
        <w:t>.</w:t>
      </w:r>
    </w:p>
    <w:p w:rsidR="00F25CCB" w:rsidRDefault="00F25CCB" w:rsidP="00F25CCB">
      <w:pPr>
        <w:pStyle w:val="ListParagraph"/>
        <w:numPr>
          <w:ilvl w:val="0"/>
          <w:numId w:val="26"/>
        </w:numPr>
        <w:rPr>
          <w:rFonts w:cs="Arial"/>
          <w:b/>
        </w:rPr>
      </w:pPr>
      <w:r w:rsidRPr="00F25CCB">
        <w:rPr>
          <w:rFonts w:cs="Arial"/>
          <w:b/>
        </w:rPr>
        <w:t>Security of Data</w:t>
      </w:r>
    </w:p>
    <w:p w:rsidR="00F25CCB" w:rsidRPr="00F25CCB" w:rsidRDefault="00F25CCB" w:rsidP="00F25CCB">
      <w:pPr>
        <w:ind w:left="360"/>
        <w:rPr>
          <w:rFonts w:cs="Arial"/>
        </w:rPr>
      </w:pPr>
      <w:r>
        <w:rPr>
          <w:rFonts w:cs="Arial"/>
          <w:iCs/>
        </w:rPr>
        <w:t xml:space="preserve">The </w:t>
      </w:r>
      <w:r w:rsidR="00EA6494">
        <w:rPr>
          <w:rFonts w:cs="Arial"/>
          <w:iCs/>
        </w:rPr>
        <w:t>storage</w:t>
      </w:r>
      <w:r>
        <w:rPr>
          <w:rFonts w:cs="Arial"/>
          <w:iCs/>
        </w:rPr>
        <w:t xml:space="preserve"> of personal information must be secure; a</w:t>
      </w:r>
      <w:r w:rsidRPr="00F25CCB">
        <w:rPr>
          <w:rFonts w:cs="Arial"/>
          <w:iCs/>
        </w:rPr>
        <w:t>ppropriate technical and organisational measures shall be taken against unauthorised or unlawful processing of personal data and against accidental loss or destruction o</w:t>
      </w:r>
      <w:r>
        <w:rPr>
          <w:rFonts w:cs="Arial"/>
          <w:iCs/>
        </w:rPr>
        <w:t>f, or damage to, personal data</w:t>
      </w:r>
      <w:r w:rsidR="004F4EFF">
        <w:rPr>
          <w:rFonts w:cs="Arial"/>
          <w:iCs/>
        </w:rPr>
        <w:t>.</w:t>
      </w:r>
    </w:p>
    <w:p w:rsidR="00ED7CCF" w:rsidRPr="00EE0C08" w:rsidRDefault="00ED7CCF" w:rsidP="00EE0C08">
      <w:pPr>
        <w:tabs>
          <w:tab w:val="num" w:pos="1031"/>
        </w:tabs>
        <w:rPr>
          <w:rFonts w:cs="Arial"/>
        </w:rPr>
      </w:pPr>
    </w:p>
    <w:p w:rsidR="002F44F8" w:rsidRDefault="002F44F8">
      <w:pPr>
        <w:jc w:val="left"/>
        <w:rPr>
          <w:rFonts w:ascii="Verdana" w:eastAsia="Times New Roman" w:hAnsi="Verdana" w:cs="Times New Roman"/>
          <w:b/>
          <w:bCs/>
          <w:kern w:val="32"/>
          <w:sz w:val="24"/>
          <w:szCs w:val="32"/>
          <w:lang w:val="en-US" w:eastAsia="en-GB"/>
        </w:rPr>
      </w:pPr>
      <w:r>
        <w:rPr>
          <w:lang w:eastAsia="en-GB"/>
        </w:rPr>
        <w:br w:type="page"/>
      </w:r>
    </w:p>
    <w:p w:rsidR="002A4753" w:rsidRPr="002A4753" w:rsidRDefault="002A4753" w:rsidP="00FF29BC">
      <w:pPr>
        <w:pStyle w:val="Heading1"/>
        <w:rPr>
          <w:lang w:eastAsia="en-GB"/>
        </w:rPr>
      </w:pPr>
      <w:bookmarkStart w:id="5" w:name="_Toc514421198"/>
      <w:r w:rsidRPr="002A4753">
        <w:rPr>
          <w:lang w:eastAsia="en-GB"/>
        </w:rPr>
        <w:lastRenderedPageBreak/>
        <w:t>The GDPR provides the following rights for individuals:</w:t>
      </w:r>
      <w:bookmarkEnd w:id="5"/>
    </w:p>
    <w:p w:rsidR="00FF29BC" w:rsidRDefault="00FF29BC" w:rsidP="00FF29BC">
      <w:pPr>
        <w:rPr>
          <w:lang w:eastAsia="en-GB"/>
        </w:rPr>
      </w:pPr>
    </w:p>
    <w:tbl>
      <w:tblPr>
        <w:tblStyle w:val="TableGrid"/>
        <w:tblW w:w="0" w:type="auto"/>
        <w:tblLook w:val="04A0" w:firstRow="1" w:lastRow="0" w:firstColumn="1" w:lastColumn="0" w:noHBand="0" w:noVBand="1"/>
      </w:tblPr>
      <w:tblGrid>
        <w:gridCol w:w="1844"/>
        <w:gridCol w:w="3759"/>
        <w:gridCol w:w="4026"/>
      </w:tblGrid>
      <w:tr w:rsidR="00884157" w:rsidRPr="002F44F8" w:rsidTr="00ED3D22">
        <w:tc>
          <w:tcPr>
            <w:tcW w:w="1696" w:type="dxa"/>
            <w:vAlign w:val="center"/>
          </w:tcPr>
          <w:p w:rsidR="00884157" w:rsidRPr="002F44F8" w:rsidRDefault="00884157" w:rsidP="002F44F8">
            <w:pPr>
              <w:rPr>
                <w:b/>
                <w:lang w:eastAsia="en-GB"/>
              </w:rPr>
            </w:pPr>
            <w:r w:rsidRPr="002F44F8">
              <w:rPr>
                <w:b/>
                <w:lang w:eastAsia="en-GB"/>
              </w:rPr>
              <w:t>GDPR Right</w:t>
            </w:r>
          </w:p>
        </w:tc>
        <w:tc>
          <w:tcPr>
            <w:tcW w:w="3828" w:type="dxa"/>
            <w:vAlign w:val="center"/>
          </w:tcPr>
          <w:p w:rsidR="00884157" w:rsidRPr="002F44F8" w:rsidRDefault="00884157" w:rsidP="002F44F8">
            <w:pPr>
              <w:rPr>
                <w:b/>
              </w:rPr>
            </w:pPr>
            <w:r w:rsidRPr="002F44F8">
              <w:rPr>
                <w:b/>
              </w:rPr>
              <w:t>What the laws Says</w:t>
            </w:r>
          </w:p>
        </w:tc>
        <w:tc>
          <w:tcPr>
            <w:tcW w:w="4105" w:type="dxa"/>
            <w:vAlign w:val="center"/>
          </w:tcPr>
          <w:p w:rsidR="00884157" w:rsidRPr="002F44F8" w:rsidRDefault="00884157" w:rsidP="002F44F8">
            <w:pPr>
              <w:rPr>
                <w:b/>
              </w:rPr>
            </w:pPr>
            <w:r w:rsidRPr="002F44F8">
              <w:rPr>
                <w:b/>
              </w:rPr>
              <w:t xml:space="preserve">Aston Students’ Union position </w:t>
            </w:r>
          </w:p>
        </w:tc>
      </w:tr>
      <w:tr w:rsidR="00884157" w:rsidRPr="002F44F8" w:rsidTr="00ED3D22">
        <w:tc>
          <w:tcPr>
            <w:tcW w:w="1696" w:type="dxa"/>
            <w:vAlign w:val="center"/>
          </w:tcPr>
          <w:p w:rsidR="00884157" w:rsidRPr="002F44F8" w:rsidRDefault="00884157" w:rsidP="002F44F8">
            <w:pPr>
              <w:jc w:val="left"/>
              <w:rPr>
                <w:b/>
                <w:lang w:eastAsia="en-GB"/>
              </w:rPr>
            </w:pPr>
            <w:r w:rsidRPr="002F44F8">
              <w:rPr>
                <w:b/>
                <w:lang w:eastAsia="en-GB"/>
              </w:rPr>
              <w:t>The right to be informed</w:t>
            </w:r>
          </w:p>
          <w:p w:rsidR="00884157" w:rsidRPr="002F44F8" w:rsidRDefault="00884157" w:rsidP="002F44F8">
            <w:pPr>
              <w:jc w:val="left"/>
              <w:rPr>
                <w:b/>
                <w:lang w:eastAsia="en-GB"/>
              </w:rPr>
            </w:pPr>
          </w:p>
        </w:tc>
        <w:tc>
          <w:tcPr>
            <w:tcW w:w="3828" w:type="dxa"/>
            <w:vAlign w:val="center"/>
          </w:tcPr>
          <w:p w:rsidR="00884157" w:rsidRPr="002F44F8" w:rsidRDefault="00884157" w:rsidP="00D97395">
            <w:pPr>
              <w:rPr>
                <w:lang w:eastAsia="en-GB"/>
              </w:rPr>
            </w:pPr>
            <w:r w:rsidRPr="002F44F8">
              <w:t>Individuals have the right to be informed about the collection and use of their personal data. This is a key transparency requirement under the GDPR.</w:t>
            </w:r>
          </w:p>
        </w:tc>
        <w:tc>
          <w:tcPr>
            <w:tcW w:w="4105" w:type="dxa"/>
            <w:vAlign w:val="center"/>
          </w:tcPr>
          <w:p w:rsidR="00884157" w:rsidRPr="002F44F8" w:rsidRDefault="00884157" w:rsidP="002F44F8">
            <w:r w:rsidRPr="002F44F8">
              <w:t>When students enrol with the university they are made aware of what data is collected and processe</w:t>
            </w:r>
            <w:r w:rsidR="00FB11D7">
              <w:t>d</w:t>
            </w:r>
            <w:r w:rsidRPr="002F44F8">
              <w:t xml:space="preserve"> and how this is shared with the Students’ Union</w:t>
            </w:r>
          </w:p>
          <w:p w:rsidR="00884157" w:rsidRPr="002F44F8" w:rsidRDefault="00884157" w:rsidP="002F44F8"/>
          <w:p w:rsidR="00884157" w:rsidRPr="002F44F8" w:rsidRDefault="00884157" w:rsidP="002F44F8">
            <w:r w:rsidRPr="002F44F8">
              <w:t>Student who activ</w:t>
            </w:r>
            <w:r w:rsidR="00FB11D7">
              <w:t>ely</w:t>
            </w:r>
            <w:r w:rsidRPr="002F44F8">
              <w:t xml:space="preserve"> engage with the Students</w:t>
            </w:r>
            <w:r w:rsidR="00D97395">
              <w:t>’</w:t>
            </w:r>
            <w:r w:rsidRPr="002F44F8">
              <w:t xml:space="preserve"> Union are further informed about how their data is processed </w:t>
            </w:r>
          </w:p>
        </w:tc>
      </w:tr>
      <w:tr w:rsidR="00884157" w:rsidRPr="002F44F8" w:rsidTr="00ED3D22">
        <w:tc>
          <w:tcPr>
            <w:tcW w:w="1696" w:type="dxa"/>
            <w:vAlign w:val="center"/>
          </w:tcPr>
          <w:p w:rsidR="00884157" w:rsidRPr="002F44F8" w:rsidRDefault="00884157" w:rsidP="00ED3D22">
            <w:pPr>
              <w:jc w:val="left"/>
              <w:rPr>
                <w:b/>
                <w:lang w:eastAsia="en-GB"/>
              </w:rPr>
            </w:pPr>
            <w:r w:rsidRPr="002F44F8">
              <w:rPr>
                <w:b/>
                <w:lang w:eastAsia="en-GB"/>
              </w:rPr>
              <w:t>The right of access</w:t>
            </w:r>
          </w:p>
        </w:tc>
        <w:tc>
          <w:tcPr>
            <w:tcW w:w="3828" w:type="dxa"/>
            <w:vAlign w:val="center"/>
          </w:tcPr>
          <w:p w:rsidR="00884157" w:rsidRPr="002F44F8" w:rsidRDefault="00884157" w:rsidP="00D97395">
            <w:pPr>
              <w:rPr>
                <w:lang w:eastAsia="en-GB"/>
              </w:rPr>
            </w:pPr>
            <w:r w:rsidRPr="002F44F8">
              <w:rPr>
                <w:lang w:eastAsia="en-GB"/>
              </w:rPr>
              <w:t xml:space="preserve">Individuals have the right to access their personal data. </w:t>
            </w:r>
          </w:p>
        </w:tc>
        <w:tc>
          <w:tcPr>
            <w:tcW w:w="4105" w:type="dxa"/>
            <w:vAlign w:val="center"/>
          </w:tcPr>
          <w:p w:rsidR="00884157" w:rsidRPr="002F44F8" w:rsidRDefault="00884157" w:rsidP="002F44F8">
            <w:pPr>
              <w:rPr>
                <w:lang w:eastAsia="en-GB"/>
              </w:rPr>
            </w:pPr>
            <w:r w:rsidRPr="002F44F8">
              <w:rPr>
                <w:lang w:eastAsia="en-GB"/>
              </w:rPr>
              <w:t>Student</w:t>
            </w:r>
            <w:r w:rsidR="00D97395">
              <w:rPr>
                <w:lang w:eastAsia="en-GB"/>
              </w:rPr>
              <w:t>s</w:t>
            </w:r>
            <w:r w:rsidRPr="002F44F8">
              <w:rPr>
                <w:lang w:eastAsia="en-GB"/>
              </w:rPr>
              <w:t xml:space="preserve"> can ask to see their data at any time and the SU will respond within one month of the request</w:t>
            </w:r>
          </w:p>
        </w:tc>
      </w:tr>
      <w:tr w:rsidR="00884157" w:rsidRPr="002F44F8" w:rsidTr="00ED3D22">
        <w:tc>
          <w:tcPr>
            <w:tcW w:w="1696" w:type="dxa"/>
            <w:vAlign w:val="center"/>
          </w:tcPr>
          <w:p w:rsidR="00884157" w:rsidRPr="002F44F8" w:rsidRDefault="00884157" w:rsidP="002F44F8">
            <w:pPr>
              <w:jc w:val="left"/>
              <w:rPr>
                <w:b/>
                <w:lang w:eastAsia="en-GB"/>
              </w:rPr>
            </w:pPr>
            <w:r w:rsidRPr="002F44F8">
              <w:rPr>
                <w:b/>
                <w:lang w:eastAsia="en-GB"/>
              </w:rPr>
              <w:t>The right to rectification</w:t>
            </w:r>
          </w:p>
          <w:p w:rsidR="00884157" w:rsidRPr="002F44F8" w:rsidRDefault="00884157" w:rsidP="002F44F8">
            <w:pPr>
              <w:jc w:val="left"/>
              <w:rPr>
                <w:b/>
                <w:lang w:eastAsia="en-GB"/>
              </w:rPr>
            </w:pPr>
          </w:p>
        </w:tc>
        <w:tc>
          <w:tcPr>
            <w:tcW w:w="3828" w:type="dxa"/>
            <w:vAlign w:val="center"/>
          </w:tcPr>
          <w:p w:rsidR="00884157" w:rsidRPr="002F44F8" w:rsidRDefault="00884157" w:rsidP="00D97395">
            <w:pPr>
              <w:rPr>
                <w:lang w:eastAsia="en-GB"/>
              </w:rPr>
            </w:pPr>
            <w:r w:rsidRPr="002F44F8">
              <w:rPr>
                <w:lang w:eastAsia="en-GB"/>
              </w:rPr>
              <w:t xml:space="preserve">The GDPR includes a right for individuals to have inaccurate personal data </w:t>
            </w:r>
            <w:r w:rsidR="00FB11D7" w:rsidRPr="002F44F8">
              <w:rPr>
                <w:lang w:eastAsia="en-GB"/>
              </w:rPr>
              <w:t>rectified or</w:t>
            </w:r>
            <w:r w:rsidRPr="002F44F8">
              <w:rPr>
                <w:lang w:eastAsia="en-GB"/>
              </w:rPr>
              <w:t xml:space="preserve"> completed if it is incomplete. </w:t>
            </w:r>
          </w:p>
        </w:tc>
        <w:tc>
          <w:tcPr>
            <w:tcW w:w="4105" w:type="dxa"/>
            <w:vAlign w:val="center"/>
          </w:tcPr>
          <w:p w:rsidR="00884157" w:rsidRPr="002F44F8" w:rsidRDefault="00D97395" w:rsidP="002F44F8">
            <w:pPr>
              <w:rPr>
                <w:lang w:eastAsia="en-GB"/>
              </w:rPr>
            </w:pPr>
            <w:r>
              <w:rPr>
                <w:lang w:eastAsia="en-GB"/>
              </w:rPr>
              <w:t>ASU</w:t>
            </w:r>
            <w:r w:rsidR="00884157" w:rsidRPr="002F44F8">
              <w:rPr>
                <w:lang w:eastAsia="en-GB"/>
              </w:rPr>
              <w:t xml:space="preserve"> will try is best to ensure that the data held is accurate. Over time and in some case</w:t>
            </w:r>
            <w:r w:rsidR="00FB11D7">
              <w:rPr>
                <w:lang w:eastAsia="en-GB"/>
              </w:rPr>
              <w:t>s,</w:t>
            </w:r>
            <w:r w:rsidR="00884157" w:rsidRPr="002F44F8">
              <w:rPr>
                <w:lang w:eastAsia="en-GB"/>
              </w:rPr>
              <w:t xml:space="preserve"> students will be able to access their own ‘online profiles’ to ensure accuracy </w:t>
            </w:r>
          </w:p>
          <w:p w:rsidR="00D97395" w:rsidRDefault="00D97395" w:rsidP="002F44F8">
            <w:pPr>
              <w:rPr>
                <w:lang w:eastAsia="en-GB"/>
              </w:rPr>
            </w:pPr>
          </w:p>
          <w:p w:rsidR="00884157" w:rsidRPr="002F44F8" w:rsidRDefault="00884157" w:rsidP="002F44F8">
            <w:pPr>
              <w:rPr>
                <w:lang w:eastAsia="en-GB"/>
              </w:rPr>
            </w:pPr>
            <w:r w:rsidRPr="002F44F8">
              <w:rPr>
                <w:lang w:eastAsia="en-GB"/>
              </w:rPr>
              <w:t xml:space="preserve">They can at any time request that their data is rectified </w:t>
            </w:r>
          </w:p>
        </w:tc>
      </w:tr>
      <w:tr w:rsidR="00884157" w:rsidRPr="002F44F8" w:rsidTr="00ED3D22">
        <w:tc>
          <w:tcPr>
            <w:tcW w:w="1696" w:type="dxa"/>
            <w:vAlign w:val="center"/>
          </w:tcPr>
          <w:p w:rsidR="00884157" w:rsidRPr="002F44F8" w:rsidRDefault="00884157" w:rsidP="002F44F8">
            <w:pPr>
              <w:jc w:val="left"/>
              <w:rPr>
                <w:b/>
                <w:lang w:eastAsia="en-GB"/>
              </w:rPr>
            </w:pPr>
            <w:r w:rsidRPr="002F44F8">
              <w:rPr>
                <w:b/>
                <w:lang w:eastAsia="en-GB"/>
              </w:rPr>
              <w:t>The right to erasure</w:t>
            </w:r>
          </w:p>
          <w:p w:rsidR="00884157" w:rsidRPr="002F44F8" w:rsidRDefault="00884157" w:rsidP="002F44F8">
            <w:pPr>
              <w:jc w:val="left"/>
              <w:rPr>
                <w:b/>
                <w:lang w:eastAsia="en-GB"/>
              </w:rPr>
            </w:pPr>
          </w:p>
        </w:tc>
        <w:tc>
          <w:tcPr>
            <w:tcW w:w="3828" w:type="dxa"/>
            <w:vAlign w:val="center"/>
          </w:tcPr>
          <w:p w:rsidR="00884157" w:rsidRPr="002F44F8" w:rsidRDefault="00884157" w:rsidP="002F44F8">
            <w:pPr>
              <w:rPr>
                <w:lang w:eastAsia="en-GB"/>
              </w:rPr>
            </w:pPr>
            <w:r w:rsidRPr="002F44F8">
              <w:rPr>
                <w:lang w:eastAsia="en-GB"/>
              </w:rPr>
              <w:t>The GDPR introduces a right for individuals to have personal data erased.</w:t>
            </w:r>
          </w:p>
          <w:p w:rsidR="00884157" w:rsidRPr="002F44F8" w:rsidRDefault="00884157" w:rsidP="002F44F8">
            <w:pPr>
              <w:rPr>
                <w:lang w:eastAsia="en-GB"/>
              </w:rPr>
            </w:pPr>
          </w:p>
        </w:tc>
        <w:tc>
          <w:tcPr>
            <w:tcW w:w="4105" w:type="dxa"/>
            <w:vAlign w:val="center"/>
          </w:tcPr>
          <w:p w:rsidR="00884157" w:rsidRPr="002F44F8" w:rsidRDefault="00884157" w:rsidP="00D97395">
            <w:pPr>
              <w:rPr>
                <w:lang w:eastAsia="en-GB"/>
              </w:rPr>
            </w:pPr>
            <w:r w:rsidRPr="002F44F8">
              <w:rPr>
                <w:lang w:eastAsia="en-GB"/>
              </w:rPr>
              <w:t xml:space="preserve">Students will be able to request this at any time. In some circumstances it may mean that </w:t>
            </w:r>
            <w:r w:rsidR="00FB11D7">
              <w:rPr>
                <w:lang w:eastAsia="en-GB"/>
              </w:rPr>
              <w:t xml:space="preserve">they </w:t>
            </w:r>
            <w:r w:rsidRPr="002F44F8">
              <w:rPr>
                <w:lang w:eastAsia="en-GB"/>
              </w:rPr>
              <w:t xml:space="preserve">are unable to </w:t>
            </w:r>
            <w:r w:rsidR="00D97395">
              <w:rPr>
                <w:lang w:eastAsia="en-GB"/>
              </w:rPr>
              <w:t>participate</w:t>
            </w:r>
            <w:r w:rsidRPr="002F44F8">
              <w:rPr>
                <w:lang w:eastAsia="en-GB"/>
              </w:rPr>
              <w:t xml:space="preserve"> in all</w:t>
            </w:r>
            <w:r w:rsidR="00D97395">
              <w:rPr>
                <w:lang w:eastAsia="en-GB"/>
              </w:rPr>
              <w:t xml:space="preserve"> or some</w:t>
            </w:r>
            <w:r w:rsidRPr="002F44F8">
              <w:rPr>
                <w:lang w:eastAsia="en-GB"/>
              </w:rPr>
              <w:t xml:space="preserve"> union activity, including voting in the elections and being an active committee member of a club or society </w:t>
            </w:r>
          </w:p>
        </w:tc>
      </w:tr>
      <w:tr w:rsidR="00884157" w:rsidRPr="002F44F8" w:rsidTr="00ED3D22">
        <w:tc>
          <w:tcPr>
            <w:tcW w:w="1696" w:type="dxa"/>
            <w:vAlign w:val="center"/>
          </w:tcPr>
          <w:p w:rsidR="00884157" w:rsidRPr="002F44F8" w:rsidRDefault="00884157" w:rsidP="00ED3D22">
            <w:pPr>
              <w:jc w:val="left"/>
              <w:rPr>
                <w:b/>
                <w:lang w:eastAsia="en-GB"/>
              </w:rPr>
            </w:pPr>
            <w:r w:rsidRPr="002F44F8">
              <w:rPr>
                <w:b/>
                <w:lang w:eastAsia="en-GB"/>
              </w:rPr>
              <w:t>The right to restrict processing</w:t>
            </w:r>
          </w:p>
        </w:tc>
        <w:tc>
          <w:tcPr>
            <w:tcW w:w="3828" w:type="dxa"/>
            <w:vAlign w:val="center"/>
          </w:tcPr>
          <w:p w:rsidR="00884157" w:rsidRPr="002F44F8" w:rsidRDefault="00884157" w:rsidP="00D97395">
            <w:pPr>
              <w:rPr>
                <w:lang w:eastAsia="en-GB"/>
              </w:rPr>
            </w:pPr>
            <w:r w:rsidRPr="002F44F8">
              <w:rPr>
                <w:lang w:eastAsia="en-GB"/>
              </w:rPr>
              <w:t xml:space="preserve">Individuals have the right to request the restriction or suppression of their personal data. </w:t>
            </w:r>
          </w:p>
        </w:tc>
        <w:tc>
          <w:tcPr>
            <w:tcW w:w="4105" w:type="dxa"/>
            <w:vAlign w:val="center"/>
          </w:tcPr>
          <w:p w:rsidR="00884157" w:rsidRPr="002F44F8" w:rsidRDefault="00884157" w:rsidP="00D97395">
            <w:pPr>
              <w:rPr>
                <w:lang w:eastAsia="en-GB"/>
              </w:rPr>
            </w:pPr>
            <w:r w:rsidRPr="002F44F8">
              <w:rPr>
                <w:lang w:eastAsia="en-GB"/>
              </w:rPr>
              <w:t xml:space="preserve">The Union would restrict the processing of data as requested. This might be for example not including all Union activity </w:t>
            </w:r>
            <w:r w:rsidR="00D97395" w:rsidRPr="002F44F8">
              <w:rPr>
                <w:lang w:eastAsia="en-GB"/>
              </w:rPr>
              <w:t>in</w:t>
            </w:r>
            <w:r w:rsidRPr="002F44F8">
              <w:rPr>
                <w:lang w:eastAsia="en-GB"/>
              </w:rPr>
              <w:t xml:space="preserve"> the HEAR report  </w:t>
            </w:r>
          </w:p>
        </w:tc>
      </w:tr>
      <w:tr w:rsidR="00884157" w:rsidRPr="002F44F8" w:rsidTr="00ED3D22">
        <w:tc>
          <w:tcPr>
            <w:tcW w:w="1696" w:type="dxa"/>
            <w:vAlign w:val="center"/>
          </w:tcPr>
          <w:p w:rsidR="00884157" w:rsidRPr="002F44F8" w:rsidRDefault="00884157" w:rsidP="00ED3D22">
            <w:pPr>
              <w:jc w:val="left"/>
              <w:rPr>
                <w:b/>
                <w:lang w:eastAsia="en-GB"/>
              </w:rPr>
            </w:pPr>
            <w:r w:rsidRPr="002F44F8">
              <w:rPr>
                <w:b/>
                <w:lang w:eastAsia="en-GB"/>
              </w:rPr>
              <w:t>The right to data portability</w:t>
            </w:r>
          </w:p>
        </w:tc>
        <w:tc>
          <w:tcPr>
            <w:tcW w:w="3828" w:type="dxa"/>
            <w:vAlign w:val="center"/>
          </w:tcPr>
          <w:p w:rsidR="00884157" w:rsidRPr="002F44F8" w:rsidRDefault="00884157" w:rsidP="00D97395">
            <w:pPr>
              <w:rPr>
                <w:lang w:eastAsia="en-GB"/>
              </w:rPr>
            </w:pPr>
            <w:r w:rsidRPr="002F44F8">
              <w:rPr>
                <w:lang w:eastAsia="en-GB"/>
              </w:rPr>
              <w:t xml:space="preserve">The right to data portability allows individuals to obtain and reuse their personal data for their own purposes across different services. </w:t>
            </w:r>
          </w:p>
        </w:tc>
        <w:tc>
          <w:tcPr>
            <w:tcW w:w="4105" w:type="dxa"/>
            <w:vAlign w:val="center"/>
          </w:tcPr>
          <w:p w:rsidR="00884157" w:rsidRPr="002F44F8" w:rsidRDefault="002F44F8" w:rsidP="00D97395">
            <w:pPr>
              <w:rPr>
                <w:lang w:eastAsia="en-GB"/>
              </w:rPr>
            </w:pPr>
            <w:r>
              <w:rPr>
                <w:lang w:eastAsia="en-GB"/>
              </w:rPr>
              <w:t xml:space="preserve">If asked the Union would provide the data. This would be in electronic format </w:t>
            </w:r>
          </w:p>
        </w:tc>
      </w:tr>
      <w:tr w:rsidR="00884157" w:rsidRPr="002F44F8" w:rsidTr="00ED3D22">
        <w:tc>
          <w:tcPr>
            <w:tcW w:w="1696" w:type="dxa"/>
            <w:vAlign w:val="center"/>
          </w:tcPr>
          <w:p w:rsidR="00884157" w:rsidRPr="002F44F8" w:rsidRDefault="00884157" w:rsidP="00ED3D22">
            <w:pPr>
              <w:jc w:val="left"/>
              <w:rPr>
                <w:b/>
                <w:lang w:eastAsia="en-GB"/>
              </w:rPr>
            </w:pPr>
            <w:r w:rsidRPr="002F44F8">
              <w:rPr>
                <w:b/>
                <w:lang w:eastAsia="en-GB"/>
              </w:rPr>
              <w:t>The right to object</w:t>
            </w:r>
          </w:p>
        </w:tc>
        <w:tc>
          <w:tcPr>
            <w:tcW w:w="3828" w:type="dxa"/>
            <w:vAlign w:val="center"/>
          </w:tcPr>
          <w:p w:rsidR="00884157" w:rsidRPr="002F44F8" w:rsidRDefault="002F44F8" w:rsidP="00D97395">
            <w:pPr>
              <w:rPr>
                <w:lang w:eastAsia="en-GB"/>
              </w:rPr>
            </w:pPr>
            <w:r w:rsidRPr="002F44F8">
              <w:rPr>
                <w:lang w:eastAsia="en-GB"/>
              </w:rPr>
              <w:t xml:space="preserve">The GDPR gives individuals the right to object to the processing of their personal data in certain circumstances. </w:t>
            </w:r>
          </w:p>
        </w:tc>
        <w:tc>
          <w:tcPr>
            <w:tcW w:w="4105" w:type="dxa"/>
            <w:vAlign w:val="center"/>
          </w:tcPr>
          <w:p w:rsidR="002F44F8" w:rsidRPr="002F44F8" w:rsidRDefault="002F44F8" w:rsidP="002F44F8">
            <w:pPr>
              <w:rPr>
                <w:lang w:eastAsia="en-GB"/>
              </w:rPr>
            </w:pPr>
            <w:r w:rsidRPr="002F44F8">
              <w:rPr>
                <w:lang w:eastAsia="en-GB"/>
              </w:rPr>
              <w:t xml:space="preserve">We recognised that in terms of direct marketing purposes individuals have an absolute right to stop their data being used </w:t>
            </w:r>
          </w:p>
          <w:p w:rsidR="00884157" w:rsidRPr="002F44F8" w:rsidRDefault="00884157" w:rsidP="002F44F8">
            <w:pPr>
              <w:rPr>
                <w:lang w:eastAsia="en-GB"/>
              </w:rPr>
            </w:pPr>
          </w:p>
        </w:tc>
      </w:tr>
      <w:tr w:rsidR="00884157" w:rsidRPr="002F44F8" w:rsidTr="00ED3D22">
        <w:trPr>
          <w:trHeight w:val="1246"/>
        </w:trPr>
        <w:tc>
          <w:tcPr>
            <w:tcW w:w="1696" w:type="dxa"/>
            <w:vAlign w:val="center"/>
          </w:tcPr>
          <w:p w:rsidR="00884157" w:rsidRPr="002F44F8" w:rsidRDefault="00884157" w:rsidP="00ED3D22">
            <w:pPr>
              <w:jc w:val="left"/>
              <w:rPr>
                <w:b/>
                <w:lang w:eastAsia="en-GB"/>
              </w:rPr>
            </w:pPr>
            <w:r w:rsidRPr="002F44F8">
              <w:rPr>
                <w:b/>
                <w:lang w:eastAsia="en-GB"/>
              </w:rPr>
              <w:t>Rights in relation to automate</w:t>
            </w:r>
            <w:r w:rsidR="00ED3D22">
              <w:rPr>
                <w:b/>
                <w:lang w:eastAsia="en-GB"/>
              </w:rPr>
              <w:t>d decision making and profiling</w:t>
            </w:r>
          </w:p>
        </w:tc>
        <w:tc>
          <w:tcPr>
            <w:tcW w:w="3828" w:type="dxa"/>
            <w:vAlign w:val="center"/>
          </w:tcPr>
          <w:p w:rsidR="00884157" w:rsidRPr="002F44F8" w:rsidRDefault="002F44F8" w:rsidP="002F44F8">
            <w:pPr>
              <w:rPr>
                <w:lang w:eastAsia="en-GB"/>
              </w:rPr>
            </w:pPr>
            <w:r w:rsidRPr="00FF29BC">
              <w:rPr>
                <w:lang w:eastAsia="en-GB"/>
              </w:rPr>
              <w:t>The GDPR has provisions on</w:t>
            </w:r>
            <w:r w:rsidR="00994ABB">
              <w:rPr>
                <w:lang w:eastAsia="en-GB"/>
              </w:rPr>
              <w:t xml:space="preserve"> </w:t>
            </w:r>
            <w:r w:rsidRPr="00FF29BC">
              <w:rPr>
                <w:lang w:eastAsia="en-GB"/>
              </w:rPr>
              <w:t>automated individual decision-making and</w:t>
            </w:r>
            <w:r>
              <w:rPr>
                <w:lang w:eastAsia="en-GB"/>
              </w:rPr>
              <w:t xml:space="preserve"> </w:t>
            </w:r>
            <w:r w:rsidRPr="00FF29BC">
              <w:rPr>
                <w:lang w:eastAsia="en-GB"/>
              </w:rPr>
              <w:t>profiling</w:t>
            </w:r>
          </w:p>
        </w:tc>
        <w:tc>
          <w:tcPr>
            <w:tcW w:w="4105" w:type="dxa"/>
            <w:vAlign w:val="center"/>
          </w:tcPr>
          <w:p w:rsidR="00884157" w:rsidRPr="002F44F8" w:rsidRDefault="002F44F8" w:rsidP="002F44F8">
            <w:pPr>
              <w:rPr>
                <w:lang w:eastAsia="en-GB"/>
              </w:rPr>
            </w:pPr>
            <w:r>
              <w:rPr>
                <w:lang w:eastAsia="en-GB"/>
              </w:rPr>
              <w:t>Currently the Union makes no decision about individual</w:t>
            </w:r>
            <w:r w:rsidR="00D97395">
              <w:rPr>
                <w:lang w:eastAsia="en-GB"/>
              </w:rPr>
              <w:t>s</w:t>
            </w:r>
            <w:r>
              <w:rPr>
                <w:lang w:eastAsia="en-GB"/>
              </w:rPr>
              <w:t xml:space="preserve"> based on automated consideration of their data </w:t>
            </w:r>
          </w:p>
        </w:tc>
      </w:tr>
    </w:tbl>
    <w:p w:rsidR="00884157" w:rsidRDefault="00884157" w:rsidP="00FF29BC">
      <w:pPr>
        <w:rPr>
          <w:lang w:eastAsia="en-GB"/>
        </w:rPr>
      </w:pPr>
    </w:p>
    <w:p w:rsidR="001C4B63" w:rsidRDefault="001C4B63" w:rsidP="001C4B63">
      <w:pPr>
        <w:pStyle w:val="ListParagraph"/>
        <w:rPr>
          <w:b/>
          <w:lang w:eastAsia="en-GB"/>
        </w:rPr>
      </w:pPr>
    </w:p>
    <w:p w:rsidR="00D97395" w:rsidRDefault="00D97395">
      <w:pPr>
        <w:jc w:val="left"/>
        <w:rPr>
          <w:rFonts w:eastAsia="Times New Roman" w:cs="Times New Roman"/>
          <w:b/>
          <w:bCs/>
          <w:color w:val="002060"/>
          <w:kern w:val="32"/>
          <w:sz w:val="28"/>
          <w:szCs w:val="32"/>
          <w:lang w:val="en-US"/>
        </w:rPr>
      </w:pPr>
      <w:bookmarkStart w:id="6" w:name="_Toc514421199"/>
      <w:r>
        <w:br w:type="page"/>
      </w:r>
    </w:p>
    <w:p w:rsidR="00EE0C08" w:rsidRPr="00EE0C08" w:rsidRDefault="00E627AC" w:rsidP="007770F4">
      <w:pPr>
        <w:pStyle w:val="Heading1"/>
      </w:pPr>
      <w:r>
        <w:lastRenderedPageBreak/>
        <w:t>Accountability and Transparency</w:t>
      </w:r>
      <w:bookmarkEnd w:id="6"/>
      <w:r>
        <w:t xml:space="preserve"> </w:t>
      </w:r>
    </w:p>
    <w:p w:rsidR="00E627AC" w:rsidRDefault="00E627AC" w:rsidP="00E627AC">
      <w:pPr>
        <w:tabs>
          <w:tab w:val="num" w:pos="1031"/>
        </w:tabs>
        <w:rPr>
          <w:rFonts w:cs="Arial"/>
        </w:rPr>
      </w:pPr>
      <w:r>
        <w:rPr>
          <w:rFonts w:cs="Arial"/>
        </w:rPr>
        <w:t>This policy and the body of work it represents demonstrates ASU compliance with the data protection principl</w:t>
      </w:r>
      <w:r w:rsidR="00A10FB3">
        <w:rPr>
          <w:rFonts w:cs="Arial"/>
        </w:rPr>
        <w:t>e</w:t>
      </w:r>
      <w:r>
        <w:rPr>
          <w:rFonts w:cs="Arial"/>
        </w:rPr>
        <w:t xml:space="preserve">s and that the responsibility rests with the origination as a data controller and data processor. </w:t>
      </w:r>
    </w:p>
    <w:p w:rsidR="00EE0C08" w:rsidRDefault="00EE0C08" w:rsidP="00EE0C08">
      <w:pPr>
        <w:tabs>
          <w:tab w:val="num" w:pos="1031"/>
        </w:tabs>
        <w:rPr>
          <w:rFonts w:cs="Arial"/>
        </w:rPr>
      </w:pPr>
      <w:r w:rsidRPr="00EE0C08">
        <w:rPr>
          <w:rFonts w:cs="Arial"/>
        </w:rPr>
        <w:t>The Chief Executive is responsible for the general development, promotion and adherence to this policy, and ultimately responsible</w:t>
      </w:r>
      <w:r>
        <w:rPr>
          <w:rFonts w:cs="Arial"/>
        </w:rPr>
        <w:t xml:space="preserve"> for compliance by all elected o</w:t>
      </w:r>
      <w:r w:rsidRPr="00EE0C08">
        <w:rPr>
          <w:rFonts w:cs="Arial"/>
        </w:rPr>
        <w:t xml:space="preserve">fficers, staff and volunteers. </w:t>
      </w:r>
      <w:r w:rsidR="005669C2">
        <w:rPr>
          <w:rFonts w:cs="Arial"/>
        </w:rPr>
        <w:t xml:space="preserve">The Chief Executive is also </w:t>
      </w:r>
      <w:r w:rsidRPr="00EE0C08">
        <w:rPr>
          <w:rFonts w:cs="Arial"/>
        </w:rPr>
        <w:t>the</w:t>
      </w:r>
      <w:r w:rsidR="00F054D6">
        <w:rPr>
          <w:rFonts w:cs="Arial"/>
        </w:rPr>
        <w:t xml:space="preserve"> Data Protection Officer</w:t>
      </w:r>
      <w:r w:rsidR="00EA6494">
        <w:rPr>
          <w:rFonts w:cs="Arial"/>
        </w:rPr>
        <w:t xml:space="preserve"> and can be contacted at this address </w:t>
      </w:r>
      <w:r w:rsidR="00EE0A45">
        <w:rPr>
          <w:rFonts w:cs="Arial"/>
        </w:rPr>
        <w:t xml:space="preserve">for any data related questions </w:t>
      </w:r>
      <w:hyperlink r:id="rId9" w:history="1">
        <w:r w:rsidR="00E627AC" w:rsidRPr="00F831D4">
          <w:rPr>
            <w:rStyle w:val="Hyperlink"/>
            <w:rFonts w:cs="Arial"/>
          </w:rPr>
          <w:t>m.mcloughlin@aston.ac.uk</w:t>
        </w:r>
      </w:hyperlink>
    </w:p>
    <w:p w:rsidR="00EE0C08" w:rsidRPr="00EE0C08" w:rsidRDefault="00EE0C08" w:rsidP="00EE0C08">
      <w:pPr>
        <w:tabs>
          <w:tab w:val="num" w:pos="1031"/>
        </w:tabs>
        <w:rPr>
          <w:rFonts w:cs="Arial"/>
        </w:rPr>
      </w:pPr>
      <w:r w:rsidRPr="00EE0C08">
        <w:rPr>
          <w:rFonts w:cs="Arial"/>
        </w:rPr>
        <w:t xml:space="preserve">The Act does not specify periods for the retention of personal data. </w:t>
      </w:r>
      <w:r w:rsidR="000B1A3E">
        <w:rPr>
          <w:rFonts w:cs="Arial"/>
        </w:rPr>
        <w:t>ASU</w:t>
      </w:r>
      <w:r w:rsidRPr="00EE0C08">
        <w:rPr>
          <w:rFonts w:cs="Arial"/>
        </w:rPr>
        <w:t xml:space="preserve"> considers the Data Protection Principles, business needs</w:t>
      </w:r>
      <w:r w:rsidR="00EE0A45">
        <w:rPr>
          <w:rFonts w:cs="Arial"/>
        </w:rPr>
        <w:t xml:space="preserve">, legitimate interests </w:t>
      </w:r>
      <w:r w:rsidRPr="00EE0C08">
        <w:rPr>
          <w:rFonts w:cs="Arial"/>
        </w:rPr>
        <w:t xml:space="preserve">and any professional </w:t>
      </w:r>
      <w:r w:rsidR="00EE0A45">
        <w:rPr>
          <w:rFonts w:cs="Arial"/>
        </w:rPr>
        <w:t xml:space="preserve">and legal </w:t>
      </w:r>
      <w:r w:rsidRPr="00EE0C08">
        <w:rPr>
          <w:rFonts w:cs="Arial"/>
        </w:rPr>
        <w:t xml:space="preserve">guidelines, in determining how long it stores specific types of data. </w:t>
      </w:r>
      <w:r w:rsidRPr="00EE0A45">
        <w:rPr>
          <w:rFonts w:cs="Arial"/>
        </w:rPr>
        <w:t>A Data Retention Sch</w:t>
      </w:r>
      <w:r w:rsidR="00EE0A45">
        <w:rPr>
          <w:rFonts w:cs="Arial"/>
        </w:rPr>
        <w:t xml:space="preserve">edule is attached as Appendix A, B and C </w:t>
      </w:r>
      <w:proofErr w:type="gramStart"/>
      <w:r w:rsidR="00EE0A45">
        <w:rPr>
          <w:rFonts w:cs="Arial"/>
        </w:rPr>
        <w:t>taking into account</w:t>
      </w:r>
      <w:proofErr w:type="gramEnd"/>
      <w:r w:rsidR="00EE0A45">
        <w:rPr>
          <w:rFonts w:cs="Arial"/>
        </w:rPr>
        <w:t xml:space="preserve"> retention schedules for charities, legal/Finance/HR legislation and needs of the organisation.</w:t>
      </w:r>
      <w:r w:rsidRPr="00EE0C08">
        <w:rPr>
          <w:rFonts w:cs="Arial"/>
        </w:rPr>
        <w:t xml:space="preserve"> </w:t>
      </w:r>
    </w:p>
    <w:p w:rsidR="00E627AC" w:rsidRDefault="005669C2" w:rsidP="00EE0C08">
      <w:pPr>
        <w:tabs>
          <w:tab w:val="num" w:pos="1031"/>
        </w:tabs>
        <w:rPr>
          <w:rFonts w:cs="Arial"/>
        </w:rPr>
      </w:pPr>
      <w:r>
        <w:rPr>
          <w:rFonts w:cs="Arial"/>
        </w:rPr>
        <w:t>All elected o</w:t>
      </w:r>
      <w:r w:rsidR="00EE0C08" w:rsidRPr="005669C2">
        <w:rPr>
          <w:rFonts w:cs="Arial"/>
        </w:rPr>
        <w:t xml:space="preserve">fficers, staff and volunteers who process personal data are expected to understand and adhere to </w:t>
      </w:r>
      <w:r w:rsidR="001906C1">
        <w:rPr>
          <w:rFonts w:cs="Arial"/>
        </w:rPr>
        <w:t xml:space="preserve">this policy and the </w:t>
      </w:r>
      <w:r w:rsidR="00EE0C08" w:rsidRPr="005669C2">
        <w:rPr>
          <w:rFonts w:cs="Arial"/>
        </w:rPr>
        <w:t>Data Protectio</w:t>
      </w:r>
      <w:r w:rsidR="001906C1">
        <w:rPr>
          <w:rFonts w:cs="Arial"/>
        </w:rPr>
        <w:t>n Principles set out in the Act. All staff and officers will undertake the GDPR training as supplied by Aston University’s Vir</w:t>
      </w:r>
      <w:r w:rsidR="004F4EFF">
        <w:rPr>
          <w:rFonts w:cs="Arial"/>
        </w:rPr>
        <w:t>tual Learning Environment (VLE).</w:t>
      </w:r>
    </w:p>
    <w:p w:rsidR="00EE0C08" w:rsidRDefault="00EE0C08" w:rsidP="00EE0C08">
      <w:pPr>
        <w:tabs>
          <w:tab w:val="num" w:pos="1031"/>
        </w:tabs>
        <w:rPr>
          <w:rFonts w:cs="Arial"/>
        </w:rPr>
      </w:pPr>
      <w:r w:rsidRPr="001906C1">
        <w:rPr>
          <w:rFonts w:cs="Arial"/>
        </w:rPr>
        <w:t xml:space="preserve">Staff </w:t>
      </w:r>
      <w:r w:rsidR="001906C1">
        <w:rPr>
          <w:rFonts w:cs="Arial"/>
        </w:rPr>
        <w:t xml:space="preserve">and officers </w:t>
      </w:r>
      <w:r w:rsidRPr="001906C1">
        <w:rPr>
          <w:rFonts w:cs="Arial"/>
        </w:rPr>
        <w:t>should refer to the Staff Checklist for Recording Data in their day-to-day work, and this is attached as Appendix B.</w:t>
      </w:r>
      <w:r w:rsidRPr="005669C2">
        <w:rPr>
          <w:rFonts w:cs="Arial"/>
        </w:rPr>
        <w:t xml:space="preserve"> </w:t>
      </w:r>
    </w:p>
    <w:p w:rsidR="00E627AC" w:rsidRDefault="00E627AC" w:rsidP="00E627AC">
      <w:pPr>
        <w:tabs>
          <w:tab w:val="num" w:pos="1031"/>
        </w:tabs>
        <w:rPr>
          <w:rFonts w:cs="Arial"/>
        </w:rPr>
      </w:pPr>
      <w:r>
        <w:rPr>
          <w:rFonts w:cs="Arial"/>
        </w:rPr>
        <w:t>ASU will use, when appropriate and proportionate, Data Protection Impact Assessment (Appendix D) and ensure that the collection and use of data fall</w:t>
      </w:r>
      <w:r w:rsidR="004F4EFF">
        <w:rPr>
          <w:rFonts w:cs="Arial"/>
        </w:rPr>
        <w:t>s</w:t>
      </w:r>
      <w:r>
        <w:rPr>
          <w:rFonts w:cs="Arial"/>
        </w:rPr>
        <w:t xml:space="preserve"> within the law and is for the legitimate needs of the organisation</w:t>
      </w:r>
      <w:r w:rsidR="00A10FB3">
        <w:rPr>
          <w:rFonts w:cs="Arial"/>
        </w:rPr>
        <w:t>.</w:t>
      </w:r>
    </w:p>
    <w:p w:rsidR="001906C1" w:rsidRDefault="00EE0C08" w:rsidP="00EE0C08">
      <w:pPr>
        <w:tabs>
          <w:tab w:val="num" w:pos="1031"/>
        </w:tabs>
        <w:rPr>
          <w:rFonts w:cs="Arial"/>
        </w:rPr>
      </w:pPr>
      <w:r w:rsidRPr="005669C2">
        <w:rPr>
          <w:rFonts w:cs="Arial"/>
        </w:rPr>
        <w:t xml:space="preserve">The Chief Executive is responsible for ensuring that adequate and appropriate knowledge and competence for good data protection exists across the organisation. The Senior </w:t>
      </w:r>
      <w:r w:rsidR="000B1A3E">
        <w:rPr>
          <w:rFonts w:cs="Arial"/>
        </w:rPr>
        <w:t>Management</w:t>
      </w:r>
      <w:r w:rsidRPr="005669C2">
        <w:rPr>
          <w:rFonts w:cs="Arial"/>
        </w:rPr>
        <w:t xml:space="preserve"> Team </w:t>
      </w:r>
      <w:r w:rsidR="004F4EFF">
        <w:rPr>
          <w:rFonts w:cs="Arial"/>
        </w:rPr>
        <w:t>are</w:t>
      </w:r>
      <w:r w:rsidRPr="005669C2">
        <w:rPr>
          <w:rFonts w:cs="Arial"/>
        </w:rPr>
        <w:t xml:space="preserve"> responsible for the oversight of rele</w:t>
      </w:r>
      <w:r w:rsidR="005669C2" w:rsidRPr="005669C2">
        <w:rPr>
          <w:rFonts w:cs="Arial"/>
        </w:rPr>
        <w:t xml:space="preserve">vant data protection issues and </w:t>
      </w:r>
      <w:r w:rsidRPr="005669C2">
        <w:rPr>
          <w:rFonts w:cs="Arial"/>
        </w:rPr>
        <w:t xml:space="preserve">should raise these for discussion, resolution and communication across </w:t>
      </w:r>
      <w:r w:rsidR="000B1A3E">
        <w:rPr>
          <w:rFonts w:cs="Arial"/>
        </w:rPr>
        <w:t>ASU</w:t>
      </w:r>
      <w:r w:rsidRPr="005669C2">
        <w:rPr>
          <w:rFonts w:cs="Arial"/>
        </w:rPr>
        <w:t xml:space="preserve">. </w:t>
      </w:r>
    </w:p>
    <w:p w:rsidR="00EE0C08" w:rsidRDefault="00EE0C08" w:rsidP="00EE0C08">
      <w:pPr>
        <w:tabs>
          <w:tab w:val="num" w:pos="1031"/>
        </w:tabs>
        <w:rPr>
          <w:rFonts w:cs="Arial"/>
        </w:rPr>
      </w:pPr>
      <w:r w:rsidRPr="005669C2">
        <w:rPr>
          <w:rFonts w:cs="Arial"/>
        </w:rPr>
        <w:t>Our responsibilities will be met by making available this policy and procedures to all colleagues, compulsory training a</w:t>
      </w:r>
      <w:r w:rsidR="005669C2" w:rsidRPr="005669C2">
        <w:rPr>
          <w:rFonts w:cs="Arial"/>
        </w:rPr>
        <w:t>nd development for new elected o</w:t>
      </w:r>
      <w:r w:rsidRPr="005669C2">
        <w:rPr>
          <w:rFonts w:cs="Arial"/>
        </w:rPr>
        <w:t xml:space="preserve">fficers, staff and volunteers, and ongoing training and development for colleagues with access to sensitive data, and with management responsibility. </w:t>
      </w:r>
    </w:p>
    <w:p w:rsidR="00962DA6" w:rsidRPr="00E627AC" w:rsidRDefault="00E627AC" w:rsidP="00EE0C08">
      <w:pPr>
        <w:tabs>
          <w:tab w:val="num" w:pos="1031"/>
        </w:tabs>
        <w:rPr>
          <w:rFonts w:cs="Arial"/>
        </w:rPr>
      </w:pPr>
      <w:r>
        <w:rPr>
          <w:rFonts w:cs="Arial"/>
        </w:rPr>
        <w:t>It is the belief of ASU that these measures will uphold the protection of personal data and both demonstrate and ensure compliance with the Act.</w:t>
      </w:r>
    </w:p>
    <w:p w:rsidR="001906C1" w:rsidRPr="00EE0C08" w:rsidRDefault="001906C1" w:rsidP="001906C1">
      <w:pPr>
        <w:pStyle w:val="Heading1"/>
      </w:pPr>
      <w:bookmarkStart w:id="7" w:name="_Toc514421200"/>
      <w:r w:rsidRPr="00EE0C08">
        <w:t xml:space="preserve">Data Processing within </w:t>
      </w:r>
      <w:r>
        <w:t>ASU</w:t>
      </w:r>
      <w:bookmarkEnd w:id="7"/>
      <w:r w:rsidRPr="00EE0C08">
        <w:t xml:space="preserve"> </w:t>
      </w:r>
    </w:p>
    <w:p w:rsidR="001906C1" w:rsidRDefault="001906C1" w:rsidP="001906C1">
      <w:pPr>
        <w:tabs>
          <w:tab w:val="num" w:pos="1031"/>
        </w:tabs>
        <w:rPr>
          <w:rFonts w:cs="Arial"/>
        </w:rPr>
      </w:pPr>
      <w:r w:rsidRPr="005669C2">
        <w:rPr>
          <w:rFonts w:cs="Arial"/>
        </w:rPr>
        <w:t xml:space="preserve">‘Processing’ is anything done with personal data including collection, storage, disclosure, use and deletion; this section sets out the most common ways in which </w:t>
      </w:r>
      <w:r>
        <w:rPr>
          <w:rFonts w:cs="Arial"/>
        </w:rPr>
        <w:t>ASU</w:t>
      </w:r>
      <w:r w:rsidRPr="005669C2">
        <w:rPr>
          <w:rFonts w:cs="Arial"/>
        </w:rPr>
        <w:t xml:space="preserve"> processes data. Any non-standard processing of data must be checked with the Chief Executive to ensure that it is consistent with this Data Protection Policy. </w:t>
      </w:r>
    </w:p>
    <w:p w:rsidR="00B35384" w:rsidRPr="005669C2" w:rsidRDefault="00B35384" w:rsidP="001906C1">
      <w:pPr>
        <w:tabs>
          <w:tab w:val="num" w:pos="1031"/>
        </w:tabs>
        <w:rPr>
          <w:rFonts w:cs="Arial"/>
        </w:rPr>
      </w:pPr>
      <w:r>
        <w:rPr>
          <w:rFonts w:cs="Arial"/>
        </w:rPr>
        <w:t xml:space="preserve">The following is a non-exhaustive list of the ways and </w:t>
      </w:r>
      <w:proofErr w:type="gramStart"/>
      <w:r>
        <w:rPr>
          <w:rFonts w:cs="Arial"/>
        </w:rPr>
        <w:t>manner in which</w:t>
      </w:r>
      <w:proofErr w:type="gramEnd"/>
      <w:r>
        <w:rPr>
          <w:rFonts w:cs="Arial"/>
        </w:rPr>
        <w:t xml:space="preserve"> the Union collects and processes data about its staff and student members</w:t>
      </w:r>
    </w:p>
    <w:p w:rsidR="00B35384" w:rsidRPr="00B35384" w:rsidRDefault="00B35384" w:rsidP="00B35384">
      <w:pPr>
        <w:tabs>
          <w:tab w:val="num" w:pos="1031"/>
        </w:tabs>
        <w:rPr>
          <w:rFonts w:cs="Arial"/>
          <w:b/>
        </w:rPr>
      </w:pPr>
      <w:r w:rsidRPr="00B35384">
        <w:rPr>
          <w:rFonts w:cs="Arial"/>
          <w:b/>
        </w:rPr>
        <w:t xml:space="preserve">Students as Member of the Students’ Union </w:t>
      </w:r>
    </w:p>
    <w:p w:rsidR="00B35384" w:rsidRPr="00D70508" w:rsidRDefault="00B35384" w:rsidP="00B35384">
      <w:pPr>
        <w:tabs>
          <w:tab w:val="num" w:pos="1031"/>
        </w:tabs>
        <w:rPr>
          <w:rFonts w:cs="Arial"/>
        </w:rPr>
      </w:pPr>
      <w:r w:rsidRPr="00D70508">
        <w:rPr>
          <w:rFonts w:cs="Arial"/>
        </w:rPr>
        <w:t xml:space="preserve">Students have the right to opt-out of membership of </w:t>
      </w:r>
      <w:r>
        <w:rPr>
          <w:rFonts w:cs="Arial"/>
        </w:rPr>
        <w:t>ASU</w:t>
      </w:r>
      <w:r w:rsidRPr="00D70508">
        <w:rPr>
          <w:rFonts w:cs="Arial"/>
        </w:rPr>
        <w:t xml:space="preserve"> and give express consent to personal and sensitive data being collected and processed</w:t>
      </w:r>
      <w:r w:rsidRPr="004944F9">
        <w:rPr>
          <w:rFonts w:cs="Arial"/>
        </w:rPr>
        <w:t>. This information is shared between Aston University and ASU under the terms of a Memorandum of Understanding, with specific reference to data sharing.</w:t>
      </w:r>
    </w:p>
    <w:p w:rsidR="00B35384" w:rsidRDefault="00B35384" w:rsidP="00B35384">
      <w:pPr>
        <w:tabs>
          <w:tab w:val="num" w:pos="1031"/>
        </w:tabs>
        <w:rPr>
          <w:rFonts w:cs="Arial"/>
        </w:rPr>
      </w:pPr>
      <w:r>
        <w:rPr>
          <w:rFonts w:cs="Arial"/>
        </w:rPr>
        <w:lastRenderedPageBreak/>
        <w:t>A key part of membership is regular communication sent to students’ university email addresses, that outlines key events and activities that are taking place to allow the organisation to achieve its charitable aims</w:t>
      </w:r>
      <w:r w:rsidRPr="00B35384">
        <w:rPr>
          <w:rFonts w:cs="Arial"/>
        </w:rPr>
        <w:t xml:space="preserve"> </w:t>
      </w:r>
      <w:r>
        <w:rPr>
          <w:rFonts w:cs="Arial"/>
        </w:rPr>
        <w:t>and t</w:t>
      </w:r>
      <w:r w:rsidRPr="00D70508">
        <w:rPr>
          <w:rFonts w:cs="Arial"/>
        </w:rPr>
        <w:t xml:space="preserve">o contact students with information, which may be of value to them. </w:t>
      </w:r>
    </w:p>
    <w:p w:rsidR="00EE0C08" w:rsidRPr="005669C2" w:rsidRDefault="00B35384" w:rsidP="00EE0C08">
      <w:pPr>
        <w:tabs>
          <w:tab w:val="num" w:pos="1031"/>
        </w:tabs>
        <w:rPr>
          <w:rFonts w:cs="Arial"/>
          <w:b/>
        </w:rPr>
      </w:pPr>
      <w:r>
        <w:rPr>
          <w:rFonts w:cs="Arial"/>
          <w:b/>
          <w:iCs/>
        </w:rPr>
        <w:t xml:space="preserve">Students, Officers and Staff as </w:t>
      </w:r>
      <w:r w:rsidR="006602EF">
        <w:rPr>
          <w:rFonts w:cs="Arial"/>
          <w:b/>
          <w:iCs/>
        </w:rPr>
        <w:t xml:space="preserve">Employees </w:t>
      </w:r>
    </w:p>
    <w:p w:rsidR="000B1A3E" w:rsidRDefault="00EE0C08" w:rsidP="00EE0C08">
      <w:pPr>
        <w:tabs>
          <w:tab w:val="num" w:pos="1031"/>
        </w:tabs>
        <w:rPr>
          <w:rFonts w:cs="Arial"/>
        </w:rPr>
      </w:pPr>
      <w:r w:rsidRPr="007D65A5">
        <w:rPr>
          <w:rFonts w:cs="Arial"/>
        </w:rPr>
        <w:t xml:space="preserve">All staff consent to </w:t>
      </w:r>
      <w:r w:rsidR="000B1A3E" w:rsidRPr="007D65A5">
        <w:rPr>
          <w:rFonts w:cs="Arial"/>
        </w:rPr>
        <w:t>ASU</w:t>
      </w:r>
      <w:r w:rsidRPr="007D65A5">
        <w:rPr>
          <w:rFonts w:cs="Arial"/>
        </w:rPr>
        <w:t xml:space="preserve"> using their data when they start employment; the notification and request for c</w:t>
      </w:r>
      <w:r w:rsidR="00ED7CCF" w:rsidRPr="007D65A5">
        <w:rPr>
          <w:rFonts w:cs="Arial"/>
        </w:rPr>
        <w:t>onsent will form part of their terms and conditions of employment</w:t>
      </w:r>
      <w:r w:rsidRPr="007D65A5">
        <w:rPr>
          <w:rFonts w:cs="Arial"/>
        </w:rPr>
        <w:t>.</w:t>
      </w:r>
      <w:r w:rsidRPr="000B1A3E">
        <w:rPr>
          <w:rFonts w:cs="Arial"/>
        </w:rPr>
        <w:t xml:space="preserve"> The</w:t>
      </w:r>
      <w:r w:rsidRPr="005669C2">
        <w:rPr>
          <w:rFonts w:cs="Arial"/>
        </w:rPr>
        <w:t xml:space="preserve"> data collected includes sensitive personal data, such as banking, health, disciplinary and diversity information. Staff should </w:t>
      </w:r>
      <w:r w:rsidR="000B1A3E">
        <w:rPr>
          <w:rFonts w:cs="Arial"/>
        </w:rPr>
        <w:t xml:space="preserve">manage their own profile and information accordingly via the Aston CORE HR system. </w:t>
      </w:r>
      <w:r w:rsidRPr="005669C2">
        <w:rPr>
          <w:rFonts w:cs="Arial"/>
        </w:rPr>
        <w:t xml:space="preserve"> </w:t>
      </w:r>
    </w:p>
    <w:p w:rsidR="00EE0C08" w:rsidRDefault="000B1A3E" w:rsidP="00EE0C08">
      <w:pPr>
        <w:tabs>
          <w:tab w:val="num" w:pos="1031"/>
        </w:tabs>
        <w:rPr>
          <w:rFonts w:cs="Arial"/>
        </w:rPr>
      </w:pPr>
      <w:r>
        <w:rPr>
          <w:rFonts w:cs="Arial"/>
        </w:rPr>
        <w:t>ASU</w:t>
      </w:r>
      <w:r w:rsidR="00EE0C08" w:rsidRPr="005669C2">
        <w:rPr>
          <w:rFonts w:cs="Arial"/>
        </w:rPr>
        <w:t xml:space="preserve"> will not disclose a confidential reference, given to a third party for the purposes of education, training, employment or the provision of any service, to the person that the reference is about. The reference could, however, become accessible to the subject of the reference from the person to whom it is sent. </w:t>
      </w:r>
    </w:p>
    <w:p w:rsidR="007D65A5" w:rsidRPr="005669C2" w:rsidRDefault="007D65A5" w:rsidP="00EE0C08">
      <w:pPr>
        <w:tabs>
          <w:tab w:val="num" w:pos="1031"/>
        </w:tabs>
        <w:rPr>
          <w:rFonts w:cs="Arial"/>
        </w:rPr>
      </w:pPr>
      <w:r>
        <w:rPr>
          <w:rFonts w:cs="Arial"/>
        </w:rPr>
        <w:t xml:space="preserve">During the time spent as an employee (the career of the staff members) the Union will </w:t>
      </w:r>
      <w:proofErr w:type="gramStart"/>
      <w:r>
        <w:rPr>
          <w:rFonts w:cs="Arial"/>
        </w:rPr>
        <w:t>collect</w:t>
      </w:r>
      <w:proofErr w:type="gramEnd"/>
      <w:r>
        <w:rPr>
          <w:rFonts w:cs="Arial"/>
        </w:rPr>
        <w:t xml:space="preserve"> and process other data related to the individuals this includes but is not limited to performance appraisals, financial records (expenses), disciplinary investigations and outcomes (where relevant)</w:t>
      </w:r>
      <w:r w:rsidR="00CB437E">
        <w:rPr>
          <w:rFonts w:cs="Arial"/>
        </w:rPr>
        <w:t>.</w:t>
      </w:r>
    </w:p>
    <w:p w:rsidR="000B1A3E" w:rsidRDefault="005669C2" w:rsidP="00EE0C08">
      <w:pPr>
        <w:tabs>
          <w:tab w:val="num" w:pos="1031"/>
        </w:tabs>
        <w:rPr>
          <w:rFonts w:cs="Arial"/>
        </w:rPr>
      </w:pPr>
      <w:r w:rsidRPr="005669C2">
        <w:rPr>
          <w:rFonts w:cs="Arial"/>
        </w:rPr>
        <w:t>References for elected o</w:t>
      </w:r>
      <w:r w:rsidR="00EE0C08" w:rsidRPr="005669C2">
        <w:rPr>
          <w:rFonts w:cs="Arial"/>
        </w:rPr>
        <w:t xml:space="preserve">fficers and staff may only be authorised by the </w:t>
      </w:r>
      <w:r w:rsidRPr="005669C2">
        <w:rPr>
          <w:rFonts w:cs="Arial"/>
        </w:rPr>
        <w:t xml:space="preserve">line managers with support from the </w:t>
      </w:r>
      <w:r w:rsidR="000B1A3E">
        <w:rPr>
          <w:rFonts w:cs="Arial"/>
        </w:rPr>
        <w:t>Senior Management team</w:t>
      </w:r>
      <w:r w:rsidR="00EE0C08" w:rsidRPr="005669C2">
        <w:rPr>
          <w:rFonts w:cs="Arial"/>
        </w:rPr>
        <w:t xml:space="preserve">. </w:t>
      </w:r>
    </w:p>
    <w:p w:rsidR="00EE0C08" w:rsidRPr="005669C2" w:rsidRDefault="000B1A3E" w:rsidP="00EE0C08">
      <w:pPr>
        <w:tabs>
          <w:tab w:val="num" w:pos="1031"/>
        </w:tabs>
        <w:rPr>
          <w:rFonts w:cs="Arial"/>
        </w:rPr>
      </w:pPr>
      <w:r>
        <w:rPr>
          <w:rFonts w:cs="Arial"/>
        </w:rPr>
        <w:t>ASU</w:t>
      </w:r>
      <w:r w:rsidR="00EE0C08" w:rsidRPr="005669C2">
        <w:rPr>
          <w:rFonts w:cs="Arial"/>
        </w:rPr>
        <w:t xml:space="preserve"> would not usually complete a reference for a volunteer but, should this occur, will store any reference within our human resources files. </w:t>
      </w:r>
    </w:p>
    <w:p w:rsidR="00EE0C08" w:rsidRPr="005669C2" w:rsidRDefault="00651056" w:rsidP="00EE0C08">
      <w:pPr>
        <w:tabs>
          <w:tab w:val="num" w:pos="1031"/>
        </w:tabs>
        <w:rPr>
          <w:rFonts w:cs="Arial"/>
          <w:b/>
        </w:rPr>
      </w:pPr>
      <w:r>
        <w:rPr>
          <w:rFonts w:cs="Arial"/>
          <w:b/>
          <w:iCs/>
        </w:rPr>
        <w:t>Students as client</w:t>
      </w:r>
      <w:r w:rsidR="004F4EFF">
        <w:rPr>
          <w:rFonts w:cs="Arial"/>
          <w:b/>
          <w:iCs/>
        </w:rPr>
        <w:t>s</w:t>
      </w:r>
      <w:r>
        <w:rPr>
          <w:rFonts w:cs="Arial"/>
          <w:b/>
          <w:iCs/>
        </w:rPr>
        <w:t xml:space="preserve"> in the </w:t>
      </w:r>
      <w:r w:rsidR="00EE0C08" w:rsidRPr="005669C2">
        <w:rPr>
          <w:rFonts w:cs="Arial"/>
          <w:b/>
          <w:iCs/>
        </w:rPr>
        <w:t xml:space="preserve">Advice </w:t>
      </w:r>
      <w:r>
        <w:rPr>
          <w:rFonts w:cs="Arial"/>
          <w:b/>
          <w:iCs/>
        </w:rPr>
        <w:t>and Representation Centre (ARC)</w:t>
      </w:r>
    </w:p>
    <w:p w:rsidR="00962DA6" w:rsidRPr="00B35384" w:rsidRDefault="000B1A3E" w:rsidP="00EE0C08">
      <w:pPr>
        <w:tabs>
          <w:tab w:val="num" w:pos="1031"/>
        </w:tabs>
        <w:rPr>
          <w:rFonts w:cs="Arial"/>
        </w:rPr>
      </w:pPr>
      <w:r>
        <w:rPr>
          <w:rFonts w:cs="Arial"/>
        </w:rPr>
        <w:t>ASU</w:t>
      </w:r>
      <w:r w:rsidR="00EE0C08" w:rsidRPr="00D70508">
        <w:rPr>
          <w:rFonts w:cs="Arial"/>
        </w:rPr>
        <w:t xml:space="preserve"> processes sensitive data on behalf of clients who use our </w:t>
      </w:r>
      <w:r w:rsidR="00651056">
        <w:rPr>
          <w:rFonts w:cs="Arial"/>
        </w:rPr>
        <w:t>Advice and Representation Centre</w:t>
      </w:r>
      <w:r w:rsidR="00EE0C08" w:rsidRPr="00D70508">
        <w:rPr>
          <w:rFonts w:cs="Arial"/>
        </w:rPr>
        <w:t>. Clients are asked to give informed consent to the slightly different ways in which we process, share, secure and dispose of their data by signing a specific consent form</w:t>
      </w:r>
      <w:r>
        <w:rPr>
          <w:rFonts w:cs="Arial"/>
        </w:rPr>
        <w:t xml:space="preserve">. </w:t>
      </w:r>
      <w:r w:rsidR="00651056" w:rsidRPr="00651056">
        <w:rPr>
          <w:rFonts w:cs="Arial"/>
        </w:rPr>
        <w:t>The ARC staff team reviews this process annually</w:t>
      </w:r>
      <w:r w:rsidR="00651056">
        <w:rPr>
          <w:rFonts w:cs="Arial"/>
        </w:rPr>
        <w:t>, using guidelines suggested by Advice Quality Standar</w:t>
      </w:r>
      <w:r w:rsidR="00B35384">
        <w:rPr>
          <w:rFonts w:cs="Arial"/>
        </w:rPr>
        <w:t>d</w:t>
      </w:r>
      <w:r w:rsidR="00651056">
        <w:rPr>
          <w:rFonts w:cs="Arial"/>
        </w:rPr>
        <w:t xml:space="preserve"> AQS</w:t>
      </w:r>
      <w:r w:rsidR="00651056">
        <w:rPr>
          <w:rStyle w:val="FootnoteReference"/>
          <w:rFonts w:cs="Arial"/>
        </w:rPr>
        <w:footnoteReference w:id="1"/>
      </w:r>
      <w:r w:rsidR="00651056">
        <w:rPr>
          <w:rFonts w:cs="Arial"/>
        </w:rPr>
        <w:t>.</w:t>
      </w:r>
      <w:r w:rsidR="00B35384">
        <w:rPr>
          <w:rFonts w:cs="Arial"/>
        </w:rPr>
        <w:t xml:space="preserve"> The full suite of ARC polices are availa</w:t>
      </w:r>
      <w:r w:rsidR="00D97395">
        <w:rPr>
          <w:rFonts w:cs="Arial"/>
        </w:rPr>
        <w:t>ble from the ARC reception desk.</w:t>
      </w:r>
    </w:p>
    <w:p w:rsidR="00EE0C08" w:rsidRPr="00D70508" w:rsidRDefault="00B35384" w:rsidP="00EE0C08">
      <w:pPr>
        <w:tabs>
          <w:tab w:val="num" w:pos="1031"/>
        </w:tabs>
        <w:rPr>
          <w:rFonts w:cs="Arial"/>
          <w:b/>
        </w:rPr>
      </w:pPr>
      <w:r>
        <w:rPr>
          <w:rFonts w:cs="Arial"/>
          <w:b/>
          <w:iCs/>
        </w:rPr>
        <w:t xml:space="preserve">Students as </w:t>
      </w:r>
      <w:r w:rsidR="00EE0C08" w:rsidRPr="00D70508">
        <w:rPr>
          <w:rFonts w:cs="Arial"/>
          <w:b/>
          <w:iCs/>
        </w:rPr>
        <w:t xml:space="preserve">Members </w:t>
      </w:r>
      <w:r>
        <w:rPr>
          <w:rFonts w:cs="Arial"/>
          <w:b/>
          <w:iCs/>
        </w:rPr>
        <w:t>of Clubs and/or Societies</w:t>
      </w:r>
    </w:p>
    <w:p w:rsidR="001855AA" w:rsidRDefault="001855AA" w:rsidP="00EE0C08">
      <w:pPr>
        <w:tabs>
          <w:tab w:val="num" w:pos="1031"/>
        </w:tabs>
        <w:rPr>
          <w:rFonts w:cs="Arial"/>
        </w:rPr>
      </w:pPr>
      <w:r>
        <w:rPr>
          <w:rFonts w:cs="Arial"/>
        </w:rPr>
        <w:t xml:space="preserve">ASU </w:t>
      </w:r>
      <w:r w:rsidR="00B35384">
        <w:rPr>
          <w:rFonts w:cs="Arial"/>
        </w:rPr>
        <w:t>collects and processes</w:t>
      </w:r>
      <w:r w:rsidR="00EE0C08" w:rsidRPr="00D70508">
        <w:rPr>
          <w:rFonts w:cs="Arial"/>
        </w:rPr>
        <w:t xml:space="preserve"> information in relation to </w:t>
      </w:r>
      <w:r w:rsidR="00B35384">
        <w:rPr>
          <w:rFonts w:cs="Arial"/>
        </w:rPr>
        <w:t xml:space="preserve">whether students join clubs and societies and the nature of their involvement (committee member or standard member). </w:t>
      </w:r>
    </w:p>
    <w:p w:rsidR="00B35384" w:rsidRDefault="00B35384" w:rsidP="00EE0C08">
      <w:pPr>
        <w:tabs>
          <w:tab w:val="num" w:pos="1031"/>
        </w:tabs>
        <w:rPr>
          <w:rFonts w:cs="Arial"/>
        </w:rPr>
      </w:pPr>
      <w:r>
        <w:rPr>
          <w:rFonts w:cs="Arial"/>
        </w:rPr>
        <w:t xml:space="preserve">Further data and information will be collected on committee members who have a responsibility </w:t>
      </w:r>
      <w:r w:rsidR="001855AA">
        <w:rPr>
          <w:rFonts w:cs="Arial"/>
        </w:rPr>
        <w:t xml:space="preserve">to run the clubs and societies including but not limited to (Financial information </w:t>
      </w:r>
      <w:r w:rsidR="002C048D">
        <w:rPr>
          <w:rFonts w:cs="Arial"/>
        </w:rPr>
        <w:t>to manage</w:t>
      </w:r>
      <w:r w:rsidR="001855AA">
        <w:rPr>
          <w:rFonts w:cs="Arial"/>
        </w:rPr>
        <w:t xml:space="preserve"> their account</w:t>
      </w:r>
      <w:r w:rsidR="002C048D">
        <w:rPr>
          <w:rFonts w:cs="Arial"/>
        </w:rPr>
        <w:t>s</w:t>
      </w:r>
      <w:r w:rsidR="001855AA">
        <w:rPr>
          <w:rFonts w:cs="Arial"/>
        </w:rPr>
        <w:t>, training records, contact/address to ensure a Duty of Care)</w:t>
      </w:r>
      <w:r w:rsidR="00D97395">
        <w:rPr>
          <w:rFonts w:cs="Arial"/>
        </w:rPr>
        <w:t>.</w:t>
      </w:r>
    </w:p>
    <w:p w:rsidR="00B35384" w:rsidRPr="00D70508" w:rsidRDefault="00B35384" w:rsidP="00B35384">
      <w:pPr>
        <w:tabs>
          <w:tab w:val="num" w:pos="1031"/>
        </w:tabs>
        <w:rPr>
          <w:rFonts w:cs="Arial"/>
          <w:b/>
        </w:rPr>
      </w:pPr>
      <w:r>
        <w:rPr>
          <w:rFonts w:cs="Arial"/>
          <w:b/>
          <w:iCs/>
        </w:rPr>
        <w:t>Students as Course Reps</w:t>
      </w:r>
    </w:p>
    <w:p w:rsidR="001855AA" w:rsidRDefault="001855AA" w:rsidP="00EE0C08">
      <w:pPr>
        <w:tabs>
          <w:tab w:val="num" w:pos="1031"/>
        </w:tabs>
        <w:rPr>
          <w:rFonts w:cs="Arial"/>
        </w:rPr>
      </w:pPr>
      <w:r>
        <w:rPr>
          <w:rFonts w:cs="Arial"/>
        </w:rPr>
        <w:t>ASU</w:t>
      </w:r>
      <w:r w:rsidRPr="00D70508">
        <w:rPr>
          <w:rFonts w:cs="Arial"/>
        </w:rPr>
        <w:t xml:space="preserve"> </w:t>
      </w:r>
      <w:r>
        <w:rPr>
          <w:rFonts w:cs="Arial"/>
        </w:rPr>
        <w:t>and the University will share data on which students are course reps, the meetings they may attend and</w:t>
      </w:r>
      <w:r w:rsidR="00D97395">
        <w:rPr>
          <w:rFonts w:cs="Arial"/>
        </w:rPr>
        <w:t xml:space="preserve"> the outcomes of those meetings.</w:t>
      </w:r>
    </w:p>
    <w:p w:rsidR="001855AA" w:rsidRPr="001855AA" w:rsidRDefault="001855AA" w:rsidP="00EE0C08">
      <w:pPr>
        <w:tabs>
          <w:tab w:val="num" w:pos="1031"/>
        </w:tabs>
        <w:rPr>
          <w:rFonts w:cs="Arial"/>
          <w:b/>
        </w:rPr>
      </w:pPr>
      <w:r w:rsidRPr="001855AA">
        <w:rPr>
          <w:rFonts w:cs="Arial"/>
          <w:b/>
        </w:rPr>
        <w:t>Students and Staff as Customers</w:t>
      </w:r>
    </w:p>
    <w:p w:rsidR="001855AA" w:rsidRDefault="001855AA" w:rsidP="00EE0C08">
      <w:pPr>
        <w:tabs>
          <w:tab w:val="num" w:pos="1031"/>
        </w:tabs>
        <w:rPr>
          <w:rFonts w:cs="Arial"/>
        </w:rPr>
      </w:pPr>
      <w:r>
        <w:rPr>
          <w:rFonts w:cs="Arial"/>
        </w:rPr>
        <w:t>If students choose to buy items online or in the shop/bar with their debit card the Union will colle</w:t>
      </w:r>
      <w:r w:rsidR="00D97395">
        <w:rPr>
          <w:rFonts w:cs="Arial"/>
        </w:rPr>
        <w:t>ct further relevant information.</w:t>
      </w:r>
    </w:p>
    <w:p w:rsidR="00EE0C08" w:rsidRPr="00D70508" w:rsidRDefault="00EE0C08" w:rsidP="00EE0C08">
      <w:pPr>
        <w:tabs>
          <w:tab w:val="num" w:pos="1031"/>
        </w:tabs>
        <w:rPr>
          <w:rFonts w:cs="Arial"/>
          <w:b/>
        </w:rPr>
      </w:pPr>
      <w:r w:rsidRPr="00D70508">
        <w:rPr>
          <w:rFonts w:cs="Arial"/>
          <w:b/>
          <w:iCs/>
        </w:rPr>
        <w:t xml:space="preserve">Suppliers/Stakeholders </w:t>
      </w:r>
    </w:p>
    <w:p w:rsidR="00EE0C08" w:rsidRPr="00D70508" w:rsidRDefault="00EE0C08" w:rsidP="00EE0C08">
      <w:pPr>
        <w:tabs>
          <w:tab w:val="num" w:pos="1031"/>
        </w:tabs>
        <w:rPr>
          <w:rFonts w:cs="Arial"/>
        </w:rPr>
      </w:pPr>
      <w:r w:rsidRPr="00D70508">
        <w:rPr>
          <w:rFonts w:cs="Arial"/>
        </w:rPr>
        <w:lastRenderedPageBreak/>
        <w:t>Information relating to suppliers or other stakeholders, including contact details, bank account details and invoices</w:t>
      </w:r>
      <w:r w:rsidR="000B1A3E">
        <w:rPr>
          <w:rFonts w:cs="Arial"/>
        </w:rPr>
        <w:t>, is stored on a secure system in the finance office and IT servers.</w:t>
      </w:r>
    </w:p>
    <w:p w:rsidR="0070027D" w:rsidRDefault="0070027D" w:rsidP="00EE0C08">
      <w:pPr>
        <w:tabs>
          <w:tab w:val="num" w:pos="1031"/>
        </w:tabs>
        <w:rPr>
          <w:rFonts w:cs="Arial"/>
          <w:b/>
          <w:bCs/>
        </w:rPr>
      </w:pPr>
      <w:r>
        <w:rPr>
          <w:rFonts w:cs="Arial"/>
          <w:b/>
          <w:bCs/>
        </w:rPr>
        <w:t>Website and Membership Administration</w:t>
      </w:r>
    </w:p>
    <w:p w:rsidR="0070027D" w:rsidRDefault="0070027D" w:rsidP="0070027D">
      <w:r>
        <w:t>ASU has a significant operational relationship with Membership Solution</w:t>
      </w:r>
      <w:r w:rsidR="00CB437E">
        <w:t>s</w:t>
      </w:r>
      <w:r>
        <w:t xml:space="preserve"> Limited</w:t>
      </w:r>
      <w:r w:rsidR="00CB437E">
        <w:t xml:space="preserve"> (MSL)</w:t>
      </w:r>
      <w:r>
        <w:t xml:space="preserve">. This company provide the membership management tools and website of the </w:t>
      </w:r>
      <w:r w:rsidR="00CB437E">
        <w:t>S</w:t>
      </w:r>
      <w:r>
        <w:t>tudents</w:t>
      </w:r>
      <w:r w:rsidR="00CB437E">
        <w:t>’ Union</w:t>
      </w:r>
      <w:r>
        <w:t>. A key element to success is their ability to store data, which ASU and its active volunteers then use to carry out their day to day tasks. MSL</w:t>
      </w:r>
      <w:r w:rsidR="00CB437E">
        <w:t>’s</w:t>
      </w:r>
      <w:r>
        <w:t xml:space="preserve"> approach to Data Protection can be found here: </w:t>
      </w:r>
      <w:hyperlink r:id="rId10" w:history="1">
        <w:r w:rsidRPr="00D97395">
          <w:rPr>
            <w:rStyle w:val="Hyperlink"/>
            <w:rFonts w:cs="Arial"/>
            <w:bCs/>
          </w:rPr>
          <w:t>https://www.ukmsl.com/news/gdpr/</w:t>
        </w:r>
      </w:hyperlink>
    </w:p>
    <w:p w:rsidR="00962DA6" w:rsidRDefault="00224EF0" w:rsidP="001855AA">
      <w:pPr>
        <w:pStyle w:val="Heading1"/>
      </w:pPr>
      <w:bookmarkStart w:id="8" w:name="_Toc514421201"/>
      <w:r>
        <w:t>Data Usage: Summary</w:t>
      </w:r>
      <w:bookmarkEnd w:id="8"/>
    </w:p>
    <w:p w:rsidR="00135797" w:rsidRPr="00AE69C6" w:rsidRDefault="00224EF0" w:rsidP="00135797">
      <w:pPr>
        <w:tabs>
          <w:tab w:val="num" w:pos="1031"/>
        </w:tabs>
        <w:rPr>
          <w:lang w:val="en-US"/>
        </w:rPr>
      </w:pPr>
      <w:r w:rsidRPr="00224EF0">
        <w:rPr>
          <w:rFonts w:cs="Arial"/>
          <w:bCs/>
        </w:rPr>
        <w:t xml:space="preserve">A summary of how data is used is included in the table below. This is not an exhaustive list </w:t>
      </w:r>
      <w:r>
        <w:rPr>
          <w:rFonts w:cs="Arial"/>
          <w:bCs/>
        </w:rPr>
        <w:t xml:space="preserve">and ASU reserves the right to use data in ways other than </w:t>
      </w:r>
      <w:r w:rsidR="00CB437E">
        <w:rPr>
          <w:rFonts w:cs="Arial"/>
          <w:bCs/>
        </w:rPr>
        <w:t>those</w:t>
      </w:r>
      <w:r>
        <w:rPr>
          <w:rFonts w:cs="Arial"/>
          <w:bCs/>
        </w:rPr>
        <w:t xml:space="preserve"> listed below, but always within the confines of this policy.</w:t>
      </w:r>
      <w:r w:rsidR="00CB437E">
        <w:rPr>
          <w:rFonts w:cs="Arial"/>
          <w:bCs/>
        </w:rPr>
        <w:t xml:space="preserve"> </w:t>
      </w:r>
      <w:r w:rsidR="00135797" w:rsidRPr="00AE69C6">
        <w:rPr>
          <w:lang w:val="en-US"/>
        </w:rPr>
        <w:t>This includes details of the Processing of Personal Data as required by Article 28(3) GDPR</w:t>
      </w:r>
      <w:r w:rsidR="00135797">
        <w:rPr>
          <w:lang w:val="en-US"/>
        </w:rPr>
        <w:t>:</w:t>
      </w:r>
    </w:p>
    <w:tbl>
      <w:tblPr>
        <w:tblStyle w:val="TableGrid"/>
        <w:tblW w:w="9752" w:type="dxa"/>
        <w:tblLook w:val="04A0" w:firstRow="1" w:lastRow="0" w:firstColumn="1" w:lastColumn="0" w:noHBand="0" w:noVBand="1"/>
      </w:tblPr>
      <w:tblGrid>
        <w:gridCol w:w="3515"/>
        <w:gridCol w:w="6237"/>
      </w:tblGrid>
      <w:tr w:rsidR="00135797" w:rsidRPr="002F44F8" w:rsidTr="002F44F8">
        <w:tc>
          <w:tcPr>
            <w:tcW w:w="3515" w:type="dxa"/>
            <w:vAlign w:val="center"/>
          </w:tcPr>
          <w:p w:rsidR="00135797" w:rsidRPr="002F44F8" w:rsidRDefault="00135797" w:rsidP="002F44F8">
            <w:pPr>
              <w:rPr>
                <w:b/>
              </w:rPr>
            </w:pPr>
            <w:r w:rsidRPr="002F44F8">
              <w:rPr>
                <w:b/>
              </w:rPr>
              <w:t>Data Required</w:t>
            </w:r>
          </w:p>
        </w:tc>
        <w:tc>
          <w:tcPr>
            <w:tcW w:w="6237" w:type="dxa"/>
            <w:vAlign w:val="center"/>
          </w:tcPr>
          <w:p w:rsidR="00135797" w:rsidRPr="002F44F8" w:rsidRDefault="00135797" w:rsidP="002F44F8">
            <w:pPr>
              <w:rPr>
                <w:b/>
              </w:rPr>
            </w:pPr>
            <w:r w:rsidRPr="002F44F8">
              <w:rPr>
                <w:b/>
              </w:rPr>
              <w:t>Purpose</w:t>
            </w:r>
          </w:p>
        </w:tc>
      </w:tr>
      <w:tr w:rsidR="00135797" w:rsidRPr="002F44F8" w:rsidTr="002F44F8">
        <w:tc>
          <w:tcPr>
            <w:tcW w:w="3515" w:type="dxa"/>
            <w:vAlign w:val="center"/>
          </w:tcPr>
          <w:p w:rsidR="00135797" w:rsidRPr="002F44F8" w:rsidRDefault="00135797" w:rsidP="002F44F8">
            <w:pPr>
              <w:jc w:val="left"/>
              <w:rPr>
                <w:b/>
              </w:rPr>
            </w:pPr>
            <w:r w:rsidRPr="002F44F8">
              <w:rPr>
                <w:b/>
              </w:rPr>
              <w:t>Student ID Number</w:t>
            </w:r>
          </w:p>
        </w:tc>
        <w:tc>
          <w:tcPr>
            <w:tcW w:w="6237" w:type="dxa"/>
            <w:vAlign w:val="center"/>
          </w:tcPr>
          <w:p w:rsidR="00135797" w:rsidRPr="002F44F8" w:rsidRDefault="00135797" w:rsidP="002F44F8">
            <w:r w:rsidRPr="002F44F8">
              <w:t>to identify membership; to run elections</w:t>
            </w:r>
            <w:r w:rsidR="005F789F" w:rsidRPr="002F44F8">
              <w:t xml:space="preserve"> (including voting and analysis of results)</w:t>
            </w:r>
          </w:p>
        </w:tc>
      </w:tr>
      <w:tr w:rsidR="00135797" w:rsidRPr="002F44F8" w:rsidTr="002F44F8">
        <w:tc>
          <w:tcPr>
            <w:tcW w:w="3515" w:type="dxa"/>
            <w:vAlign w:val="center"/>
          </w:tcPr>
          <w:p w:rsidR="00135797" w:rsidRPr="002F44F8" w:rsidRDefault="00135797" w:rsidP="002F44F8">
            <w:pPr>
              <w:jc w:val="left"/>
              <w:rPr>
                <w:b/>
              </w:rPr>
            </w:pPr>
            <w:r w:rsidRPr="002F44F8">
              <w:rPr>
                <w:b/>
              </w:rPr>
              <w:t>Title, Forename, Middle Name and Surname</w:t>
            </w:r>
          </w:p>
        </w:tc>
        <w:tc>
          <w:tcPr>
            <w:tcW w:w="6237" w:type="dxa"/>
            <w:vAlign w:val="center"/>
          </w:tcPr>
          <w:p w:rsidR="00135797" w:rsidRPr="002F44F8" w:rsidRDefault="00135797" w:rsidP="002F44F8">
            <w:r w:rsidRPr="002F44F8">
              <w:t>to identify member and carry out SU activities as identified</w:t>
            </w:r>
          </w:p>
        </w:tc>
      </w:tr>
      <w:tr w:rsidR="00135797" w:rsidRPr="002F44F8" w:rsidTr="002F44F8">
        <w:tc>
          <w:tcPr>
            <w:tcW w:w="3515" w:type="dxa"/>
            <w:vAlign w:val="center"/>
          </w:tcPr>
          <w:p w:rsidR="00135797" w:rsidRPr="002F44F8" w:rsidRDefault="00135797" w:rsidP="002F44F8">
            <w:pPr>
              <w:jc w:val="left"/>
              <w:rPr>
                <w:b/>
              </w:rPr>
            </w:pPr>
            <w:r w:rsidRPr="002F44F8">
              <w:rPr>
                <w:b/>
              </w:rPr>
              <w:t>Emergency Contact</w:t>
            </w:r>
          </w:p>
        </w:tc>
        <w:tc>
          <w:tcPr>
            <w:tcW w:w="6237" w:type="dxa"/>
            <w:vAlign w:val="center"/>
          </w:tcPr>
          <w:p w:rsidR="00135797" w:rsidRPr="002F44F8" w:rsidRDefault="00135797" w:rsidP="002F44F8">
            <w:pPr>
              <w:rPr>
                <w:rFonts w:cs="Arial"/>
              </w:rPr>
            </w:pPr>
            <w:r w:rsidRPr="002F44F8">
              <w:rPr>
                <w:rFonts w:cs="Arial"/>
              </w:rPr>
              <w:t>to be used for emergency contact only</w:t>
            </w:r>
          </w:p>
        </w:tc>
      </w:tr>
      <w:tr w:rsidR="00135797" w:rsidRPr="002F44F8" w:rsidTr="002F44F8">
        <w:tc>
          <w:tcPr>
            <w:tcW w:w="3515" w:type="dxa"/>
            <w:vAlign w:val="center"/>
          </w:tcPr>
          <w:p w:rsidR="00135797" w:rsidRPr="002F44F8" w:rsidRDefault="00135797" w:rsidP="002F44F8">
            <w:pPr>
              <w:jc w:val="left"/>
              <w:rPr>
                <w:b/>
              </w:rPr>
            </w:pPr>
            <w:r w:rsidRPr="002F44F8">
              <w:rPr>
                <w:b/>
              </w:rPr>
              <w:t xml:space="preserve">Contact Details (Address/Email/Telephone): </w:t>
            </w:r>
          </w:p>
        </w:tc>
        <w:tc>
          <w:tcPr>
            <w:tcW w:w="6237" w:type="dxa"/>
            <w:vAlign w:val="center"/>
          </w:tcPr>
          <w:p w:rsidR="00135797" w:rsidRPr="002F44F8" w:rsidRDefault="00135797" w:rsidP="002F44F8">
            <w:r w:rsidRPr="002F44F8">
              <w:t xml:space="preserve">to communicate with members </w:t>
            </w:r>
            <w:r w:rsidR="00137586" w:rsidRPr="002F44F8">
              <w:t>as and when relevant and timely</w:t>
            </w:r>
          </w:p>
        </w:tc>
      </w:tr>
      <w:tr w:rsidR="00135797" w:rsidRPr="002F44F8" w:rsidTr="002F44F8">
        <w:trPr>
          <w:trHeight w:val="839"/>
        </w:trPr>
        <w:tc>
          <w:tcPr>
            <w:tcW w:w="3515" w:type="dxa"/>
            <w:vAlign w:val="center"/>
          </w:tcPr>
          <w:p w:rsidR="00135797" w:rsidRPr="002F44F8" w:rsidRDefault="00135797" w:rsidP="002F44F8">
            <w:pPr>
              <w:jc w:val="left"/>
              <w:rPr>
                <w:b/>
              </w:rPr>
            </w:pPr>
            <w:r w:rsidRPr="002F44F8">
              <w:rPr>
                <w:b/>
              </w:rPr>
              <w:t xml:space="preserve">Date of Birth: </w:t>
            </w:r>
          </w:p>
        </w:tc>
        <w:tc>
          <w:tcPr>
            <w:tcW w:w="6237" w:type="dxa"/>
            <w:vAlign w:val="center"/>
          </w:tcPr>
          <w:p w:rsidR="00135797" w:rsidRPr="002F44F8" w:rsidRDefault="00135797" w:rsidP="002F44F8">
            <w:r w:rsidRPr="002F44F8">
              <w:t>to identify member, to identify whether they are a mature student and to identify potential need of membership as well as target communications</w:t>
            </w:r>
          </w:p>
        </w:tc>
      </w:tr>
      <w:tr w:rsidR="00135797" w:rsidRPr="002F44F8" w:rsidTr="002F44F8">
        <w:trPr>
          <w:trHeight w:val="637"/>
        </w:trPr>
        <w:tc>
          <w:tcPr>
            <w:tcW w:w="3515" w:type="dxa"/>
            <w:vAlign w:val="center"/>
          </w:tcPr>
          <w:p w:rsidR="00135797" w:rsidRPr="002F44F8" w:rsidRDefault="00135797" w:rsidP="002F44F8">
            <w:pPr>
              <w:jc w:val="left"/>
              <w:rPr>
                <w:b/>
              </w:rPr>
            </w:pPr>
            <w:r w:rsidRPr="002F44F8">
              <w:rPr>
                <w:b/>
              </w:rPr>
              <w:t>Nationality:</w:t>
            </w:r>
          </w:p>
        </w:tc>
        <w:tc>
          <w:tcPr>
            <w:tcW w:w="6237" w:type="dxa"/>
            <w:vAlign w:val="center"/>
          </w:tcPr>
          <w:p w:rsidR="00135797" w:rsidRPr="002F44F8" w:rsidRDefault="00135797" w:rsidP="002F44F8">
            <w:r w:rsidRPr="002F44F8">
              <w:t>to analyse service provision, membership need and target communications</w:t>
            </w:r>
          </w:p>
        </w:tc>
      </w:tr>
      <w:tr w:rsidR="00135797" w:rsidRPr="002F44F8" w:rsidTr="002F44F8">
        <w:tc>
          <w:tcPr>
            <w:tcW w:w="3515" w:type="dxa"/>
            <w:vAlign w:val="center"/>
          </w:tcPr>
          <w:p w:rsidR="00135797" w:rsidRPr="002F44F8" w:rsidRDefault="00135797" w:rsidP="002F44F8">
            <w:pPr>
              <w:jc w:val="left"/>
              <w:rPr>
                <w:b/>
              </w:rPr>
            </w:pPr>
            <w:r w:rsidRPr="002F44F8">
              <w:rPr>
                <w:b/>
              </w:rPr>
              <w:t>Home, EU or International Student Status;</w:t>
            </w:r>
          </w:p>
          <w:p w:rsidR="00135797" w:rsidRPr="002F44F8" w:rsidRDefault="00135797" w:rsidP="002F44F8">
            <w:pPr>
              <w:jc w:val="left"/>
              <w:rPr>
                <w:b/>
              </w:rPr>
            </w:pPr>
            <w:r w:rsidRPr="002F44F8">
              <w:rPr>
                <w:b/>
              </w:rPr>
              <w:t xml:space="preserve">Enrolment Status: </w:t>
            </w:r>
          </w:p>
          <w:p w:rsidR="00135797" w:rsidRPr="002F44F8" w:rsidRDefault="00135797" w:rsidP="002F44F8">
            <w:pPr>
              <w:jc w:val="left"/>
              <w:rPr>
                <w:b/>
              </w:rPr>
            </w:pPr>
            <w:r w:rsidRPr="002F44F8">
              <w:rPr>
                <w:b/>
              </w:rPr>
              <w:t xml:space="preserve">Programme of Study/Mode of Study/Location of Study/Mode of Attendance:  </w:t>
            </w:r>
          </w:p>
        </w:tc>
        <w:tc>
          <w:tcPr>
            <w:tcW w:w="6237" w:type="dxa"/>
            <w:vAlign w:val="center"/>
          </w:tcPr>
          <w:p w:rsidR="00135797" w:rsidRPr="002F44F8" w:rsidRDefault="00135797" w:rsidP="002F44F8">
            <w:r w:rsidRPr="002F44F8">
              <w:t>to analyse service provision and membership need as well as target communications; to allow for course rep elections and support</w:t>
            </w:r>
          </w:p>
        </w:tc>
      </w:tr>
      <w:tr w:rsidR="00135797" w:rsidRPr="002F44F8" w:rsidTr="002F44F8">
        <w:trPr>
          <w:trHeight w:val="796"/>
        </w:trPr>
        <w:tc>
          <w:tcPr>
            <w:tcW w:w="3515" w:type="dxa"/>
            <w:vAlign w:val="center"/>
          </w:tcPr>
          <w:p w:rsidR="00135797" w:rsidRPr="002F44F8" w:rsidRDefault="00135797" w:rsidP="002F44F8">
            <w:pPr>
              <w:jc w:val="left"/>
              <w:rPr>
                <w:b/>
              </w:rPr>
            </w:pPr>
            <w:r w:rsidRPr="002F44F8">
              <w:rPr>
                <w:b/>
              </w:rPr>
              <w:t>School and Department/Year of Study:</w:t>
            </w:r>
          </w:p>
        </w:tc>
        <w:tc>
          <w:tcPr>
            <w:tcW w:w="6237" w:type="dxa"/>
            <w:vAlign w:val="center"/>
          </w:tcPr>
          <w:p w:rsidR="00135797" w:rsidRPr="002F44F8" w:rsidRDefault="00135797" w:rsidP="002F44F8">
            <w:r w:rsidRPr="002F44F8">
              <w:t>to analyse service provision and membership need as well as target communications; to allow for online elections for course reps</w:t>
            </w:r>
            <w:r w:rsidR="002C048D" w:rsidRPr="002F44F8">
              <w:t xml:space="preserve"> and monitoring of the </w:t>
            </w:r>
            <w:proofErr w:type="gramStart"/>
            <w:r w:rsidR="002C048D" w:rsidRPr="002F44F8">
              <w:t>reps</w:t>
            </w:r>
            <w:proofErr w:type="gramEnd"/>
            <w:r w:rsidR="002C048D" w:rsidRPr="002F44F8">
              <w:t xml:space="preserve"> scheme performance </w:t>
            </w:r>
          </w:p>
        </w:tc>
      </w:tr>
      <w:tr w:rsidR="00135797" w:rsidRPr="002F44F8" w:rsidTr="002F44F8">
        <w:trPr>
          <w:trHeight w:val="694"/>
        </w:trPr>
        <w:tc>
          <w:tcPr>
            <w:tcW w:w="3515" w:type="dxa"/>
            <w:vAlign w:val="center"/>
          </w:tcPr>
          <w:p w:rsidR="00135797" w:rsidRPr="002F44F8" w:rsidRDefault="00135797" w:rsidP="002F44F8">
            <w:pPr>
              <w:jc w:val="left"/>
              <w:rPr>
                <w:b/>
              </w:rPr>
            </w:pPr>
            <w:r w:rsidRPr="002F44F8">
              <w:rPr>
                <w:b/>
              </w:rPr>
              <w:t>Grades and Grades pending:</w:t>
            </w:r>
          </w:p>
        </w:tc>
        <w:tc>
          <w:tcPr>
            <w:tcW w:w="6237" w:type="dxa"/>
            <w:vAlign w:val="center"/>
          </w:tcPr>
          <w:p w:rsidR="00135797" w:rsidRPr="002F44F8" w:rsidRDefault="00135797" w:rsidP="002F44F8">
            <w:r w:rsidRPr="002F44F8">
              <w:t>to deal with academic enquiries and support the ARC service</w:t>
            </w:r>
          </w:p>
        </w:tc>
      </w:tr>
      <w:tr w:rsidR="00135797" w:rsidRPr="002F44F8" w:rsidTr="002F44F8">
        <w:tc>
          <w:tcPr>
            <w:tcW w:w="3515" w:type="dxa"/>
            <w:vAlign w:val="center"/>
          </w:tcPr>
          <w:p w:rsidR="00135797" w:rsidRPr="002F44F8" w:rsidRDefault="00135797" w:rsidP="002F44F8">
            <w:pPr>
              <w:jc w:val="left"/>
              <w:rPr>
                <w:b/>
              </w:rPr>
            </w:pPr>
            <w:r w:rsidRPr="002F44F8">
              <w:rPr>
                <w:b/>
              </w:rPr>
              <w:t>Assessments a student is registered on and the number of attempts they have had at each assessment:</w:t>
            </w:r>
          </w:p>
        </w:tc>
        <w:tc>
          <w:tcPr>
            <w:tcW w:w="6237" w:type="dxa"/>
            <w:vAlign w:val="center"/>
          </w:tcPr>
          <w:p w:rsidR="00135797" w:rsidRPr="002F44F8" w:rsidRDefault="00135797" w:rsidP="002F44F8">
            <w:r w:rsidRPr="002F44F8">
              <w:t>to deal with academic enquiries</w:t>
            </w:r>
            <w:r w:rsidR="002C048D" w:rsidRPr="002F44F8">
              <w:t xml:space="preserve"> within the ARC and deal with any issues surrounding these</w:t>
            </w:r>
          </w:p>
          <w:p w:rsidR="00135797" w:rsidRPr="002F44F8" w:rsidRDefault="00135797" w:rsidP="002F44F8"/>
        </w:tc>
      </w:tr>
      <w:tr w:rsidR="004D4624" w:rsidRPr="002F44F8" w:rsidTr="002F44F8">
        <w:trPr>
          <w:trHeight w:val="864"/>
        </w:trPr>
        <w:tc>
          <w:tcPr>
            <w:tcW w:w="3515" w:type="dxa"/>
            <w:vAlign w:val="center"/>
          </w:tcPr>
          <w:p w:rsidR="004D4624" w:rsidRPr="002F44F8" w:rsidRDefault="004D4624" w:rsidP="002F44F8">
            <w:pPr>
              <w:jc w:val="left"/>
              <w:rPr>
                <w:b/>
              </w:rPr>
            </w:pPr>
            <w:r w:rsidRPr="002F44F8">
              <w:rPr>
                <w:b/>
              </w:rPr>
              <w:t>Full Demographics:  Gender, Ethnicity, Religion, Disability</w:t>
            </w:r>
          </w:p>
        </w:tc>
        <w:tc>
          <w:tcPr>
            <w:tcW w:w="6237" w:type="dxa"/>
            <w:vAlign w:val="center"/>
          </w:tcPr>
          <w:p w:rsidR="004D4624" w:rsidRPr="002F44F8" w:rsidRDefault="004D4624" w:rsidP="002F44F8">
            <w:r w:rsidRPr="002F44F8">
              <w:t>segmentation data required for cultural inclusion, targeting of services/events to relevant students and for reporting purposes</w:t>
            </w:r>
          </w:p>
        </w:tc>
      </w:tr>
      <w:tr w:rsidR="002F44F8" w:rsidRPr="002F44F8" w:rsidTr="002F44F8">
        <w:trPr>
          <w:trHeight w:val="864"/>
        </w:trPr>
        <w:tc>
          <w:tcPr>
            <w:tcW w:w="3515" w:type="dxa"/>
            <w:vAlign w:val="center"/>
          </w:tcPr>
          <w:p w:rsidR="002F44F8" w:rsidRPr="002F44F8" w:rsidRDefault="002F44F8" w:rsidP="002F44F8">
            <w:pPr>
              <w:jc w:val="left"/>
              <w:rPr>
                <w:b/>
              </w:rPr>
            </w:pPr>
            <w:r>
              <w:rPr>
                <w:b/>
              </w:rPr>
              <w:t>Bank and Financial Details</w:t>
            </w:r>
          </w:p>
        </w:tc>
        <w:tc>
          <w:tcPr>
            <w:tcW w:w="6237" w:type="dxa"/>
            <w:vAlign w:val="center"/>
          </w:tcPr>
          <w:p w:rsidR="002F44F8" w:rsidRPr="002F44F8" w:rsidRDefault="002F44F8" w:rsidP="002F44F8">
            <w:r>
              <w:t xml:space="preserve">To process expenses payments, to allow payments to be made in the shops and commercial outlets </w:t>
            </w:r>
          </w:p>
        </w:tc>
      </w:tr>
      <w:tr w:rsidR="001866B9" w:rsidRPr="002F44F8" w:rsidTr="002F44F8">
        <w:trPr>
          <w:trHeight w:val="864"/>
        </w:trPr>
        <w:tc>
          <w:tcPr>
            <w:tcW w:w="3515" w:type="dxa"/>
            <w:vAlign w:val="center"/>
          </w:tcPr>
          <w:p w:rsidR="001866B9" w:rsidRDefault="001866B9" w:rsidP="002F44F8">
            <w:pPr>
              <w:jc w:val="left"/>
              <w:rPr>
                <w:b/>
              </w:rPr>
            </w:pPr>
            <w:r>
              <w:rPr>
                <w:b/>
              </w:rPr>
              <w:lastRenderedPageBreak/>
              <w:t>Details of Guest speakers (contacts, social media profiles)</w:t>
            </w:r>
          </w:p>
        </w:tc>
        <w:tc>
          <w:tcPr>
            <w:tcW w:w="6237" w:type="dxa"/>
            <w:vAlign w:val="center"/>
          </w:tcPr>
          <w:p w:rsidR="001866B9" w:rsidRDefault="001866B9" w:rsidP="002F44F8">
            <w:r>
              <w:t>To all</w:t>
            </w:r>
            <w:r w:rsidR="00CB437E">
              <w:t>ow</w:t>
            </w:r>
            <w:r>
              <w:t xml:space="preserve"> the Union to carry outs its due diligence under the PREVENT legislation and University PREVENT policy </w:t>
            </w:r>
          </w:p>
        </w:tc>
      </w:tr>
      <w:tr w:rsidR="002F44F8" w:rsidRPr="002F44F8" w:rsidTr="002F44F8">
        <w:trPr>
          <w:trHeight w:val="864"/>
        </w:trPr>
        <w:tc>
          <w:tcPr>
            <w:tcW w:w="3515" w:type="dxa"/>
            <w:vAlign w:val="center"/>
          </w:tcPr>
          <w:p w:rsidR="002F44F8" w:rsidRDefault="002F44F8" w:rsidP="002F44F8">
            <w:pPr>
              <w:jc w:val="left"/>
              <w:rPr>
                <w:b/>
              </w:rPr>
            </w:pPr>
            <w:r>
              <w:rPr>
                <w:b/>
              </w:rPr>
              <w:t>Details related to driving licences and offenses</w:t>
            </w:r>
          </w:p>
        </w:tc>
        <w:tc>
          <w:tcPr>
            <w:tcW w:w="6237" w:type="dxa"/>
            <w:vAlign w:val="center"/>
          </w:tcPr>
          <w:p w:rsidR="002F44F8" w:rsidRDefault="002F44F8" w:rsidP="002F44F8">
            <w:r>
              <w:t>To allow certain student</w:t>
            </w:r>
            <w:r w:rsidR="00CB437E">
              <w:t>s</w:t>
            </w:r>
            <w:r>
              <w:t xml:space="preserve"> the ability to drive the Union vehicle fleet</w:t>
            </w:r>
          </w:p>
        </w:tc>
      </w:tr>
      <w:tr w:rsidR="001866B9" w:rsidRPr="002F44F8" w:rsidTr="002F44F8">
        <w:trPr>
          <w:trHeight w:val="864"/>
        </w:trPr>
        <w:tc>
          <w:tcPr>
            <w:tcW w:w="3515" w:type="dxa"/>
            <w:vAlign w:val="center"/>
          </w:tcPr>
          <w:p w:rsidR="001866B9" w:rsidRDefault="001866B9" w:rsidP="002F44F8">
            <w:pPr>
              <w:jc w:val="left"/>
              <w:rPr>
                <w:b/>
              </w:rPr>
            </w:pPr>
            <w:r>
              <w:rPr>
                <w:b/>
              </w:rPr>
              <w:t>Data in relation to students</w:t>
            </w:r>
            <w:r w:rsidR="00CB437E">
              <w:rPr>
                <w:b/>
              </w:rPr>
              <w:t>’</w:t>
            </w:r>
            <w:r>
              <w:rPr>
                <w:b/>
              </w:rPr>
              <w:t xml:space="preserve"> engagement in Union decision making structure</w:t>
            </w:r>
          </w:p>
        </w:tc>
        <w:tc>
          <w:tcPr>
            <w:tcW w:w="6237" w:type="dxa"/>
            <w:vAlign w:val="center"/>
          </w:tcPr>
          <w:p w:rsidR="001866B9" w:rsidRDefault="001866B9" w:rsidP="002F44F8">
            <w:r>
              <w:t>Attendance at meetings, policy submissions, voting records, candidacy and elected roles</w:t>
            </w:r>
          </w:p>
        </w:tc>
      </w:tr>
      <w:tr w:rsidR="004D4624" w:rsidRPr="002F44F8" w:rsidTr="002F44F8">
        <w:trPr>
          <w:trHeight w:val="864"/>
        </w:trPr>
        <w:tc>
          <w:tcPr>
            <w:tcW w:w="3515" w:type="dxa"/>
            <w:vAlign w:val="center"/>
          </w:tcPr>
          <w:p w:rsidR="004D4624" w:rsidRPr="002F44F8" w:rsidRDefault="004D4624" w:rsidP="002F44F8">
            <w:pPr>
              <w:jc w:val="left"/>
              <w:rPr>
                <w:b/>
              </w:rPr>
            </w:pPr>
            <w:r w:rsidRPr="002F44F8">
              <w:rPr>
                <w:b/>
              </w:rPr>
              <w:t xml:space="preserve">Engagement in ASU (Committee </w:t>
            </w:r>
            <w:r w:rsidR="002F44F8" w:rsidRPr="002F44F8">
              <w:rPr>
                <w:b/>
              </w:rPr>
              <w:t>position</w:t>
            </w:r>
            <w:r w:rsidRPr="002F44F8">
              <w:rPr>
                <w:b/>
              </w:rPr>
              <w:t>, accolades, positions of responsibility)</w:t>
            </w:r>
          </w:p>
        </w:tc>
        <w:tc>
          <w:tcPr>
            <w:tcW w:w="6237" w:type="dxa"/>
            <w:vAlign w:val="center"/>
          </w:tcPr>
          <w:p w:rsidR="004D4624" w:rsidRPr="002F44F8" w:rsidRDefault="004D4624" w:rsidP="002F44F8">
            <w:r w:rsidRPr="002F44F8">
              <w:t xml:space="preserve">This data is required for the legitimate needs of </w:t>
            </w:r>
            <w:r w:rsidR="004F4EFF" w:rsidRPr="002F44F8">
              <w:t>the day-to-</w:t>
            </w:r>
            <w:r w:rsidRPr="002F44F8">
              <w:t>day business and at the end of the year is shared with the University for the purposes of populating the Higher Education Achie</w:t>
            </w:r>
            <w:r w:rsidR="001F005F" w:rsidRPr="002F44F8">
              <w:t>ve</w:t>
            </w:r>
            <w:r w:rsidRPr="002F44F8">
              <w:t>ment Record (HEAR)</w:t>
            </w:r>
          </w:p>
        </w:tc>
      </w:tr>
    </w:tbl>
    <w:p w:rsidR="00135797" w:rsidRDefault="00135797" w:rsidP="00EE0C08">
      <w:pPr>
        <w:tabs>
          <w:tab w:val="num" w:pos="1031"/>
        </w:tabs>
        <w:rPr>
          <w:rFonts w:cs="Arial"/>
          <w:bCs/>
        </w:rPr>
      </w:pPr>
    </w:p>
    <w:p w:rsidR="00135797" w:rsidRDefault="009D3D6B" w:rsidP="009D3D6B">
      <w:pPr>
        <w:pStyle w:val="Heading1"/>
      </w:pPr>
      <w:bookmarkStart w:id="9" w:name="_Toc514421202"/>
      <w:r>
        <w:t>Data Protection Impact Assessment</w:t>
      </w:r>
      <w:bookmarkEnd w:id="9"/>
    </w:p>
    <w:p w:rsidR="009D3D6B" w:rsidRDefault="009D3D6B" w:rsidP="00212FE5">
      <w:r>
        <w:t xml:space="preserve">Where ASU is beginning a new project or activity or where a project is up for a regular review a Data Protection Impact Assessment will take place. This is a sense check of either current data protection </w:t>
      </w:r>
      <w:r w:rsidR="00212FE5">
        <w:t>practices or</w:t>
      </w:r>
      <w:r w:rsidR="004F4EFF">
        <w:t xml:space="preserve"> </w:t>
      </w:r>
      <w:r>
        <w:t>potential new ones.</w:t>
      </w:r>
      <w:r w:rsidR="00E72848">
        <w:t xml:space="preserve"> The process will broadly follow the guidelines below:</w:t>
      </w:r>
    </w:p>
    <w:p w:rsidR="009D3D6B" w:rsidRPr="00E72848" w:rsidRDefault="009D3D6B" w:rsidP="00212FE5">
      <w:pPr>
        <w:pStyle w:val="ListParagraph"/>
        <w:numPr>
          <w:ilvl w:val="0"/>
          <w:numId w:val="29"/>
        </w:numPr>
      </w:pPr>
      <w:r w:rsidRPr="00212FE5">
        <w:rPr>
          <w:b/>
          <w:bCs/>
          <w:bdr w:val="none" w:sz="0" w:space="0" w:color="auto" w:frame="1"/>
        </w:rPr>
        <w:t>Identify the need for the DPIA</w:t>
      </w:r>
      <w:r w:rsidRPr="00E72848">
        <w:t> – determine whether the inherent risks of the processing operation require you to undertake a DPIA.</w:t>
      </w:r>
    </w:p>
    <w:p w:rsidR="009D3D6B" w:rsidRPr="00E72848" w:rsidRDefault="009D3D6B" w:rsidP="00212FE5">
      <w:pPr>
        <w:pStyle w:val="ListParagraph"/>
        <w:numPr>
          <w:ilvl w:val="0"/>
          <w:numId w:val="29"/>
        </w:numPr>
      </w:pPr>
      <w:r w:rsidRPr="00212FE5">
        <w:rPr>
          <w:b/>
          <w:bCs/>
          <w:bdr w:val="none" w:sz="0" w:space="0" w:color="auto" w:frame="1"/>
        </w:rPr>
        <w:t>Describe the information flow </w:t>
      </w:r>
      <w:r w:rsidRPr="00E72848">
        <w:t>– be able to describe how the information within the processing operation is collected, stored, used and deleted.</w:t>
      </w:r>
    </w:p>
    <w:p w:rsidR="009D3D6B" w:rsidRPr="00E72848" w:rsidRDefault="009D3D6B" w:rsidP="00212FE5">
      <w:pPr>
        <w:pStyle w:val="ListParagraph"/>
        <w:numPr>
          <w:ilvl w:val="0"/>
          <w:numId w:val="29"/>
        </w:numPr>
      </w:pPr>
      <w:r w:rsidRPr="00212FE5">
        <w:rPr>
          <w:b/>
          <w:bCs/>
          <w:bdr w:val="none" w:sz="0" w:space="0" w:color="auto" w:frame="1"/>
        </w:rPr>
        <w:t>Identify privacy</w:t>
      </w:r>
      <w:r w:rsidRPr="00E72848">
        <w:t> </w:t>
      </w:r>
      <w:r w:rsidRPr="00212FE5">
        <w:rPr>
          <w:b/>
          <w:bCs/>
          <w:bdr w:val="none" w:sz="0" w:space="0" w:color="auto" w:frame="1"/>
        </w:rPr>
        <w:t>and related risks</w:t>
      </w:r>
      <w:r w:rsidRPr="00E72848">
        <w:t> – catalogue the range of threats, and their related vulnerabilities, to the rights and freedoms of individuals whose data you collect and/or process.</w:t>
      </w:r>
    </w:p>
    <w:p w:rsidR="009D3D6B" w:rsidRPr="00E72848" w:rsidRDefault="009D3D6B" w:rsidP="00212FE5">
      <w:pPr>
        <w:pStyle w:val="ListParagraph"/>
        <w:numPr>
          <w:ilvl w:val="0"/>
          <w:numId w:val="29"/>
        </w:numPr>
      </w:pPr>
      <w:r w:rsidRPr="00212FE5">
        <w:rPr>
          <w:b/>
          <w:bCs/>
          <w:bdr w:val="none" w:sz="0" w:space="0" w:color="auto" w:frame="1"/>
        </w:rPr>
        <w:t>Identify and evaluate privacy solutions</w:t>
      </w:r>
      <w:r w:rsidRPr="00E72848">
        <w:t> – for each identified risk to the personal data, make a ‘risk decision’, i.e. whether to accept or reject the risk, whether to transfer it or take steps to reduce the impact or likelihood of the threat successfully exploiting the vulnerability.</w:t>
      </w:r>
    </w:p>
    <w:p w:rsidR="009D3D6B" w:rsidRPr="00E72848" w:rsidRDefault="009D3D6B" w:rsidP="00212FE5">
      <w:pPr>
        <w:pStyle w:val="ListParagraph"/>
        <w:numPr>
          <w:ilvl w:val="0"/>
          <w:numId w:val="29"/>
        </w:numPr>
      </w:pPr>
      <w:r w:rsidRPr="00212FE5">
        <w:rPr>
          <w:b/>
          <w:bCs/>
          <w:bdr w:val="none" w:sz="0" w:space="0" w:color="auto" w:frame="1"/>
        </w:rPr>
        <w:t>Sign off and record the DPIA outcomes </w:t>
      </w:r>
      <w:r w:rsidRPr="00E72848">
        <w:t>– record the outcomes of the DPIA (steps 1-4) in a report that is signed off by whoever is responsible for those decisions. Where a high risk has been identified, the organisation must submit the DPIA to the regulatory authority for consultation.</w:t>
      </w:r>
    </w:p>
    <w:p w:rsidR="009D3D6B" w:rsidRPr="00E72848" w:rsidRDefault="009D3D6B" w:rsidP="00212FE5">
      <w:pPr>
        <w:pStyle w:val="ListParagraph"/>
        <w:numPr>
          <w:ilvl w:val="0"/>
          <w:numId w:val="29"/>
        </w:numPr>
      </w:pPr>
      <w:r w:rsidRPr="00212FE5">
        <w:rPr>
          <w:b/>
          <w:bCs/>
          <w:bdr w:val="none" w:sz="0" w:space="0" w:color="auto" w:frame="1"/>
        </w:rPr>
        <w:t>Integrate the DPIA outcomes into the project plan </w:t>
      </w:r>
      <w:r w:rsidRPr="00E72848">
        <w:t xml:space="preserve">– you will need to continually refer to the DPIA </w:t>
      </w:r>
      <w:proofErr w:type="gramStart"/>
      <w:r w:rsidRPr="00E72848">
        <w:t>in order to</w:t>
      </w:r>
      <w:proofErr w:type="gramEnd"/>
      <w:r w:rsidRPr="00E72848">
        <w:t xml:space="preserve"> ensure that it is being followed and that its responses to the risks have been implemented effectively.</w:t>
      </w:r>
    </w:p>
    <w:p w:rsidR="00E72848" w:rsidRDefault="00E72848" w:rsidP="00EE0C08">
      <w:pPr>
        <w:tabs>
          <w:tab w:val="num" w:pos="1031"/>
        </w:tabs>
        <w:rPr>
          <w:rFonts w:cs="Arial"/>
          <w:bCs/>
        </w:rPr>
      </w:pPr>
      <w:r>
        <w:rPr>
          <w:rFonts w:cs="Arial"/>
          <w:bCs/>
        </w:rPr>
        <w:t>A copy of the Data Protection Risk Assessment is included in Appendix D</w:t>
      </w:r>
    </w:p>
    <w:p w:rsidR="00EE0C08" w:rsidRPr="00EE0C08" w:rsidRDefault="00EE0C08" w:rsidP="007770F4">
      <w:pPr>
        <w:pStyle w:val="Heading1"/>
      </w:pPr>
      <w:bookmarkStart w:id="10" w:name="_Toc514421203"/>
      <w:r w:rsidRPr="00EE0C08">
        <w:t>Data Sharing, Data Security and Disposal</w:t>
      </w:r>
      <w:bookmarkEnd w:id="10"/>
      <w:r w:rsidRPr="00EE0C08">
        <w:t xml:space="preserve"> </w:t>
      </w:r>
    </w:p>
    <w:p w:rsidR="00EE0C08" w:rsidRPr="00D70508" w:rsidRDefault="00EE0C08" w:rsidP="00EE0C08">
      <w:pPr>
        <w:tabs>
          <w:tab w:val="num" w:pos="1031"/>
        </w:tabs>
        <w:rPr>
          <w:rFonts w:cs="Arial"/>
        </w:rPr>
      </w:pPr>
      <w:proofErr w:type="gramStart"/>
      <w:r w:rsidRPr="00D70508">
        <w:rPr>
          <w:rFonts w:cs="Arial"/>
        </w:rPr>
        <w:t>In order to</w:t>
      </w:r>
      <w:proofErr w:type="gramEnd"/>
      <w:r w:rsidRPr="00D70508">
        <w:rPr>
          <w:rFonts w:cs="Arial"/>
        </w:rPr>
        <w:t xml:space="preserve"> prevent unauthorised processing, or accidental los</w:t>
      </w:r>
      <w:r w:rsidR="002B3310">
        <w:rPr>
          <w:rFonts w:cs="Arial"/>
        </w:rPr>
        <w:t>s, damage or destruction, paper</w:t>
      </w:r>
      <w:r w:rsidRPr="00D70508">
        <w:rPr>
          <w:rFonts w:cs="Arial"/>
        </w:rPr>
        <w:t xml:space="preserve"> records that hold personal data are stored in locked filing cabinets, and electronic records are stored in drives, applications and servers that are securely man</w:t>
      </w:r>
      <w:r w:rsidR="002F4F6E">
        <w:rPr>
          <w:rFonts w:cs="Arial"/>
        </w:rPr>
        <w:t>aged.</w:t>
      </w:r>
    </w:p>
    <w:p w:rsidR="00EE0C08" w:rsidRPr="002E1FEA" w:rsidRDefault="00EE0C08" w:rsidP="00EE0C08">
      <w:pPr>
        <w:tabs>
          <w:tab w:val="num" w:pos="1031"/>
        </w:tabs>
        <w:rPr>
          <w:rFonts w:cs="Arial"/>
        </w:rPr>
      </w:pPr>
      <w:r w:rsidRPr="00D70508">
        <w:rPr>
          <w:rFonts w:cs="Arial"/>
        </w:rPr>
        <w:t xml:space="preserve">We will only share data </w:t>
      </w:r>
      <w:r w:rsidR="002F4F6E">
        <w:rPr>
          <w:rFonts w:cs="Arial"/>
        </w:rPr>
        <w:t>a</w:t>
      </w:r>
      <w:r w:rsidRPr="00D70508">
        <w:rPr>
          <w:rFonts w:cs="Arial"/>
        </w:rPr>
        <w:t xml:space="preserve">cross different business functions, and colleagues at </w:t>
      </w:r>
      <w:r w:rsidR="000B1A3E">
        <w:rPr>
          <w:rFonts w:cs="Arial"/>
        </w:rPr>
        <w:t>ASU</w:t>
      </w:r>
      <w:r w:rsidR="00D70508" w:rsidRPr="00D70508">
        <w:rPr>
          <w:rFonts w:cs="Arial"/>
        </w:rPr>
        <w:t xml:space="preserve"> </w:t>
      </w:r>
      <w:r w:rsidRPr="00D70508">
        <w:rPr>
          <w:rFonts w:cs="Arial"/>
        </w:rPr>
        <w:t xml:space="preserve">when it is </w:t>
      </w:r>
      <w:r w:rsidRPr="002E1FEA">
        <w:rPr>
          <w:rFonts w:cs="Arial"/>
        </w:rPr>
        <w:t xml:space="preserve">required </w:t>
      </w:r>
      <w:proofErr w:type="gramStart"/>
      <w:r w:rsidRPr="002E1FEA">
        <w:rPr>
          <w:rFonts w:cs="Arial"/>
        </w:rPr>
        <w:t>in order to</w:t>
      </w:r>
      <w:proofErr w:type="gramEnd"/>
      <w:r w:rsidRPr="002E1FEA">
        <w:rPr>
          <w:rFonts w:cs="Arial"/>
        </w:rPr>
        <w:t xml:space="preserve"> perform necessary work. </w:t>
      </w:r>
    </w:p>
    <w:p w:rsidR="00EE0C08" w:rsidRPr="002E1FEA" w:rsidRDefault="00EE0C08" w:rsidP="00EE0C08">
      <w:pPr>
        <w:tabs>
          <w:tab w:val="num" w:pos="1031"/>
        </w:tabs>
        <w:rPr>
          <w:rFonts w:cs="Arial"/>
        </w:rPr>
      </w:pPr>
      <w:r w:rsidRPr="002E1FEA">
        <w:rPr>
          <w:rFonts w:cs="Arial"/>
        </w:rPr>
        <w:t xml:space="preserve">We sometimes share data with external partners, such as </w:t>
      </w:r>
      <w:r w:rsidR="002B3310">
        <w:rPr>
          <w:rFonts w:cs="Arial"/>
        </w:rPr>
        <w:t>Aston</w:t>
      </w:r>
      <w:r w:rsidR="00D70508" w:rsidRPr="002E1FEA">
        <w:rPr>
          <w:rFonts w:cs="Arial"/>
        </w:rPr>
        <w:t xml:space="preserve"> University</w:t>
      </w:r>
      <w:r w:rsidRPr="002E1FEA">
        <w:rPr>
          <w:rFonts w:cs="Arial"/>
        </w:rPr>
        <w:t xml:space="preserve"> and the National Union of Students, under specific Data Sharing Agreements. As far as possible data is transmitted solely over a secure network connection, and the transmission of printed data through the post, or through independent electronic devices </w:t>
      </w:r>
      <w:r w:rsidRPr="002E1FEA">
        <w:rPr>
          <w:rFonts w:cs="Arial"/>
        </w:rPr>
        <w:lastRenderedPageBreak/>
        <w:t xml:space="preserve">is strongly discouraged. </w:t>
      </w:r>
      <w:r w:rsidR="000B1A3E">
        <w:rPr>
          <w:rFonts w:cs="Arial"/>
        </w:rPr>
        <w:t>ASU</w:t>
      </w:r>
      <w:r w:rsidRPr="002E1FEA">
        <w:rPr>
          <w:rFonts w:cs="Arial"/>
        </w:rPr>
        <w:t xml:space="preserve"> uses a secure network system with fully managed access control, back-up and recovery processes in place, and this is managed by </w:t>
      </w:r>
      <w:r w:rsidR="002B3310">
        <w:rPr>
          <w:rFonts w:cs="Arial"/>
        </w:rPr>
        <w:t xml:space="preserve">Aston </w:t>
      </w:r>
      <w:r w:rsidR="00D70508" w:rsidRPr="002E1FEA">
        <w:rPr>
          <w:rFonts w:cs="Arial"/>
        </w:rPr>
        <w:t>University</w:t>
      </w:r>
      <w:r w:rsidRPr="002E1FEA">
        <w:rPr>
          <w:rFonts w:cs="Arial"/>
        </w:rPr>
        <w:t xml:space="preserve">. </w:t>
      </w:r>
    </w:p>
    <w:p w:rsidR="00EE0C08" w:rsidRPr="002E1FEA" w:rsidRDefault="00EE0C08" w:rsidP="00EE0C08">
      <w:pPr>
        <w:tabs>
          <w:tab w:val="num" w:pos="1031"/>
        </w:tabs>
        <w:rPr>
          <w:rFonts w:cs="Arial"/>
        </w:rPr>
      </w:pPr>
      <w:r w:rsidRPr="002E1FEA">
        <w:rPr>
          <w:rFonts w:cs="Arial"/>
        </w:rPr>
        <w:t xml:space="preserve">Data is retained and disposed of according to need and in conjunction with the Data Retention Schedule. At the end of the retention period we dispose of, or destroy all data, confidentially where necessary; we shred paper files and delete electronic data from central systems. </w:t>
      </w:r>
    </w:p>
    <w:p w:rsidR="00EE0C08" w:rsidRPr="00EE0C08" w:rsidRDefault="00EE0C08" w:rsidP="004F4EFF">
      <w:pPr>
        <w:pStyle w:val="Heading1"/>
      </w:pPr>
      <w:bookmarkStart w:id="11" w:name="_Toc514421204"/>
      <w:r w:rsidRPr="00EE0C08">
        <w:t>Requests for Information</w:t>
      </w:r>
      <w:bookmarkEnd w:id="11"/>
      <w:r w:rsidRPr="00EE0C08">
        <w:t xml:space="preserve"> </w:t>
      </w:r>
    </w:p>
    <w:p w:rsidR="00EE0C08" w:rsidRPr="002E1FEA" w:rsidRDefault="00EE0C08" w:rsidP="00EE0C08">
      <w:pPr>
        <w:tabs>
          <w:tab w:val="num" w:pos="1031"/>
        </w:tabs>
        <w:rPr>
          <w:rFonts w:cs="Arial"/>
        </w:rPr>
      </w:pPr>
      <w:r w:rsidRPr="002E1FEA">
        <w:rPr>
          <w:rFonts w:cs="Arial"/>
        </w:rPr>
        <w:t xml:space="preserve">The Act gives any individual, as a ‘data subject’, the right to receive details of personal information concerning them that is stored and processed by </w:t>
      </w:r>
      <w:r w:rsidR="000B1A3E">
        <w:rPr>
          <w:rFonts w:cs="Arial"/>
        </w:rPr>
        <w:t>ASU</w:t>
      </w:r>
      <w:r w:rsidRPr="002E1FEA">
        <w:rPr>
          <w:rFonts w:cs="Arial"/>
        </w:rPr>
        <w:t xml:space="preserve">. The Act requires us to present data within </w:t>
      </w:r>
      <w:r w:rsidR="004D4624">
        <w:rPr>
          <w:rFonts w:cs="Arial"/>
        </w:rPr>
        <w:t>40</w:t>
      </w:r>
      <w:r w:rsidRPr="002E1FEA">
        <w:rPr>
          <w:rFonts w:cs="Arial"/>
        </w:rPr>
        <w:t xml:space="preserve"> days, but we will always try to meet our responsibility as soon as possible. </w:t>
      </w:r>
    </w:p>
    <w:p w:rsidR="00EE0C08" w:rsidRPr="002E1FEA" w:rsidRDefault="00EE0C08" w:rsidP="00EE0C08">
      <w:pPr>
        <w:tabs>
          <w:tab w:val="num" w:pos="1031"/>
        </w:tabs>
        <w:rPr>
          <w:rFonts w:cs="Arial"/>
        </w:rPr>
      </w:pPr>
      <w:r w:rsidRPr="002E1FEA">
        <w:rPr>
          <w:rFonts w:cs="Arial"/>
        </w:rPr>
        <w:t xml:space="preserve">We welcome requests to access data that we hold, but we will need to authenticate the identity of any individual who makes a Subject Access Request. We therefore ask </w:t>
      </w:r>
      <w:r w:rsidR="00E35A19">
        <w:rPr>
          <w:rFonts w:cs="Arial"/>
        </w:rPr>
        <w:t xml:space="preserve">for </w:t>
      </w:r>
      <w:r w:rsidRPr="002E1FEA">
        <w:rPr>
          <w:rFonts w:cs="Arial"/>
        </w:rPr>
        <w:t xml:space="preserve">any Subject Access Request </w:t>
      </w:r>
      <w:proofErr w:type="gramStart"/>
      <w:r w:rsidR="00E35A19">
        <w:rPr>
          <w:rFonts w:cs="Arial"/>
        </w:rPr>
        <w:t xml:space="preserve">to </w:t>
      </w:r>
      <w:r w:rsidRPr="002E1FEA">
        <w:rPr>
          <w:rFonts w:cs="Arial"/>
        </w:rPr>
        <w:t xml:space="preserve"> be</w:t>
      </w:r>
      <w:proofErr w:type="gramEnd"/>
      <w:r w:rsidRPr="002E1FEA">
        <w:rPr>
          <w:rFonts w:cs="Arial"/>
        </w:rPr>
        <w:t xml:space="preserve"> sent to the Chief Executive</w:t>
      </w:r>
      <w:r w:rsidR="00985885">
        <w:rPr>
          <w:rFonts w:cs="Arial"/>
        </w:rPr>
        <w:t xml:space="preserve"> through </w:t>
      </w:r>
      <w:hyperlink r:id="rId11" w:history="1">
        <w:r w:rsidR="00985885" w:rsidRPr="00F641F0">
          <w:rPr>
            <w:rStyle w:val="Hyperlink"/>
            <w:rFonts w:cs="Arial"/>
          </w:rPr>
          <w:t>m.mcloughlin@aston.ac.uk</w:t>
        </w:r>
      </w:hyperlink>
      <w:r w:rsidR="00E35A19">
        <w:rPr>
          <w:rStyle w:val="Hyperlink"/>
          <w:rFonts w:cs="Arial"/>
        </w:rPr>
        <w:t>.</w:t>
      </w:r>
      <w:r w:rsidR="00985885">
        <w:rPr>
          <w:rFonts w:cs="Arial"/>
        </w:rPr>
        <w:t xml:space="preserve"> </w:t>
      </w:r>
      <w:r w:rsidR="00E35A19">
        <w:rPr>
          <w:rFonts w:cs="Arial"/>
        </w:rPr>
        <w:t>W</w:t>
      </w:r>
      <w:r w:rsidRPr="002E1FEA">
        <w:rPr>
          <w:rFonts w:cs="Arial"/>
        </w:rPr>
        <w:t>e may need to ask for more information before we can process t</w:t>
      </w:r>
      <w:r w:rsidR="002E1FEA" w:rsidRPr="002E1FEA">
        <w:rPr>
          <w:rFonts w:cs="Arial"/>
        </w:rPr>
        <w:t>he request and locate the data.</w:t>
      </w:r>
    </w:p>
    <w:p w:rsidR="00EE0C08" w:rsidRPr="002E1FEA" w:rsidRDefault="00EE0C08" w:rsidP="00EE0C08">
      <w:pPr>
        <w:tabs>
          <w:tab w:val="num" w:pos="1031"/>
        </w:tabs>
        <w:rPr>
          <w:rFonts w:cs="Arial"/>
        </w:rPr>
      </w:pPr>
      <w:r w:rsidRPr="002E1FEA">
        <w:rPr>
          <w:rFonts w:cs="Arial"/>
        </w:rPr>
        <w:t xml:space="preserve">When the Chief Executive receives a Subject Access Request, they will ask all </w:t>
      </w:r>
      <w:r w:rsidR="00985885">
        <w:rPr>
          <w:rFonts w:cs="Arial"/>
        </w:rPr>
        <w:t>Managers</w:t>
      </w:r>
      <w:r w:rsidRPr="002E1FEA">
        <w:rPr>
          <w:rFonts w:cs="Arial"/>
        </w:rPr>
        <w:t xml:space="preserve"> to search the data that they hold and provide the information necessary. </w:t>
      </w:r>
    </w:p>
    <w:p w:rsidR="004D4624" w:rsidRDefault="00EE0C08" w:rsidP="00EE0C08">
      <w:pPr>
        <w:tabs>
          <w:tab w:val="num" w:pos="1031"/>
        </w:tabs>
        <w:rPr>
          <w:rFonts w:cs="Arial"/>
        </w:rPr>
      </w:pPr>
      <w:r w:rsidRPr="002E1FEA">
        <w:rPr>
          <w:rFonts w:cs="Arial"/>
        </w:rPr>
        <w:t xml:space="preserve">Requests for information about another person from a third party (including, for example, other </w:t>
      </w:r>
      <w:r w:rsidR="000B1A3E">
        <w:rPr>
          <w:rFonts w:cs="Arial"/>
        </w:rPr>
        <w:t>ASU</w:t>
      </w:r>
      <w:r w:rsidRPr="002E1FEA">
        <w:rPr>
          <w:rFonts w:cs="Arial"/>
        </w:rPr>
        <w:t xml:space="preserve"> members, family, local authorities or the police) should be referred to the Chief Executive. </w:t>
      </w:r>
    </w:p>
    <w:p w:rsidR="00962DA6" w:rsidRPr="004D4624" w:rsidRDefault="00EE0C08" w:rsidP="00EE0C08">
      <w:pPr>
        <w:tabs>
          <w:tab w:val="num" w:pos="1031"/>
        </w:tabs>
        <w:rPr>
          <w:rFonts w:cs="Arial"/>
        </w:rPr>
      </w:pPr>
      <w:r w:rsidRPr="004D4624">
        <w:rPr>
          <w:rFonts w:cs="Arial"/>
        </w:rPr>
        <w:t>The</w:t>
      </w:r>
      <w:r w:rsidR="0042738D" w:rsidRPr="004D4624">
        <w:rPr>
          <w:rFonts w:cs="Arial"/>
        </w:rPr>
        <w:t xml:space="preserve"> Policies </w:t>
      </w:r>
      <w:r w:rsidRPr="004D4624">
        <w:rPr>
          <w:rFonts w:cs="Arial"/>
        </w:rPr>
        <w:t xml:space="preserve">Manual </w:t>
      </w:r>
      <w:r w:rsidR="0042738D" w:rsidRPr="004D4624">
        <w:rPr>
          <w:rFonts w:cs="Arial"/>
        </w:rPr>
        <w:t xml:space="preserve">for the Advice Service </w:t>
      </w:r>
      <w:r w:rsidRPr="004D4624">
        <w:rPr>
          <w:rFonts w:cs="Arial"/>
        </w:rPr>
        <w:t xml:space="preserve">has some specific notes about disclosure, which are made clear </w:t>
      </w:r>
      <w:r w:rsidR="004D4624">
        <w:rPr>
          <w:rFonts w:cs="Arial"/>
        </w:rPr>
        <w:t>within the document and to the students as service users</w:t>
      </w:r>
      <w:r w:rsidRPr="004D4624">
        <w:rPr>
          <w:rFonts w:cs="Arial"/>
        </w:rPr>
        <w:t>.</w:t>
      </w:r>
      <w:r w:rsidRPr="002E1FEA">
        <w:rPr>
          <w:rFonts w:cs="Arial"/>
        </w:rPr>
        <w:t xml:space="preserve"> </w:t>
      </w:r>
    </w:p>
    <w:p w:rsidR="00EE0C08" w:rsidRPr="00EE0C08" w:rsidRDefault="00EE0C08" w:rsidP="004F4EFF">
      <w:pPr>
        <w:pStyle w:val="Heading1"/>
      </w:pPr>
      <w:bookmarkStart w:id="12" w:name="_Toc514421205"/>
      <w:r w:rsidRPr="00EE0C08">
        <w:t>Complaints</w:t>
      </w:r>
      <w:bookmarkEnd w:id="12"/>
      <w:r w:rsidRPr="00EE0C08">
        <w:t xml:space="preserve"> </w:t>
      </w:r>
    </w:p>
    <w:p w:rsidR="007770F4" w:rsidRPr="002E1FEA" w:rsidRDefault="00EE0C08" w:rsidP="002E1FEA">
      <w:pPr>
        <w:tabs>
          <w:tab w:val="num" w:pos="1031"/>
        </w:tabs>
        <w:rPr>
          <w:rFonts w:cs="Arial"/>
        </w:rPr>
      </w:pPr>
      <w:r w:rsidRPr="002E1FEA">
        <w:rPr>
          <w:rFonts w:cs="Arial"/>
        </w:rPr>
        <w:t xml:space="preserve">Any person who is concerned about any aspect of the management of personal data can use the </w:t>
      </w:r>
      <w:r w:rsidR="007770F4">
        <w:rPr>
          <w:rFonts w:cs="Arial"/>
        </w:rPr>
        <w:t xml:space="preserve">contact ASU and submit formal feedback via </w:t>
      </w:r>
      <w:hyperlink r:id="rId12" w:history="1">
        <w:r w:rsidR="007770F4" w:rsidRPr="00F641F0">
          <w:rPr>
            <w:rStyle w:val="Hyperlink"/>
            <w:rFonts w:cs="Arial"/>
          </w:rPr>
          <w:t>https://www.astonsu.com/feedback/</w:t>
        </w:r>
      </w:hyperlink>
    </w:p>
    <w:p w:rsidR="00EE0C08" w:rsidRPr="002E1FEA" w:rsidRDefault="00EE0C08" w:rsidP="00EE0C08">
      <w:pPr>
        <w:tabs>
          <w:tab w:val="num" w:pos="1031"/>
        </w:tabs>
        <w:rPr>
          <w:rFonts w:cs="Arial"/>
        </w:rPr>
      </w:pPr>
      <w:r w:rsidRPr="002E1FEA">
        <w:rPr>
          <w:rFonts w:cs="Arial"/>
        </w:rPr>
        <w:t xml:space="preserve">Any person who feels they are being denied access to personal information they are entitled </w:t>
      </w:r>
      <w:proofErr w:type="gramStart"/>
      <w:r w:rsidRPr="002E1FEA">
        <w:rPr>
          <w:rFonts w:cs="Arial"/>
        </w:rPr>
        <w:t>to, or</w:t>
      </w:r>
      <w:proofErr w:type="gramEnd"/>
      <w:r w:rsidRPr="002E1FEA">
        <w:rPr>
          <w:rFonts w:cs="Arial"/>
        </w:rPr>
        <w:t xml:space="preserve"> feel</w:t>
      </w:r>
      <w:r w:rsidR="00E35A19">
        <w:rPr>
          <w:rFonts w:cs="Arial"/>
        </w:rPr>
        <w:t>s</w:t>
      </w:r>
      <w:r w:rsidRPr="002E1FEA">
        <w:rPr>
          <w:rFonts w:cs="Arial"/>
        </w:rPr>
        <w:t xml:space="preserve"> that their information has not been handled according to the Data Protection Principles, can contact the Information Commissioners Office at any time at ‘The Information Commissioner, Wycliffe House, Water Lane, Wilmslow, Cheshire, SK9 5AF.’ The Information Commissioner’s website is </w:t>
      </w:r>
      <w:hyperlink r:id="rId13" w:history="1">
        <w:r w:rsidR="00E35A19" w:rsidRPr="00F6743A">
          <w:rPr>
            <w:rStyle w:val="Hyperlink"/>
            <w:rFonts w:cs="Arial"/>
          </w:rPr>
          <w:t>www.ico.org.uk</w:t>
        </w:r>
      </w:hyperlink>
      <w:r w:rsidR="00E35A19">
        <w:rPr>
          <w:rFonts w:cs="Arial"/>
        </w:rPr>
        <w:t xml:space="preserve"> </w:t>
      </w:r>
      <w:r w:rsidRPr="002E1FEA">
        <w:rPr>
          <w:rFonts w:cs="Arial"/>
        </w:rPr>
        <w:t xml:space="preserve">and their telephone number is (+44) 1625 545700. </w:t>
      </w:r>
    </w:p>
    <w:p w:rsidR="002E1FEA" w:rsidRDefault="002E1FEA" w:rsidP="00EE0C08">
      <w:pPr>
        <w:tabs>
          <w:tab w:val="num" w:pos="1031"/>
        </w:tabs>
        <w:rPr>
          <w:rFonts w:cs="Arial"/>
          <w:b/>
        </w:rPr>
      </w:pPr>
    </w:p>
    <w:p w:rsidR="00EE0A45" w:rsidRDefault="00EE0A45">
      <w:pPr>
        <w:rPr>
          <w:rFonts w:ascii="Verdana" w:eastAsia="Times New Roman" w:hAnsi="Verdana" w:cs="Times New Roman"/>
          <w:b/>
          <w:bCs/>
          <w:kern w:val="32"/>
          <w:sz w:val="24"/>
          <w:szCs w:val="32"/>
          <w:lang w:val="en-US"/>
        </w:rPr>
      </w:pPr>
      <w:r>
        <w:br w:type="page"/>
      </w:r>
    </w:p>
    <w:p w:rsidR="00EE0C08" w:rsidRPr="00EE0C08" w:rsidRDefault="00EE0C08" w:rsidP="007770F4">
      <w:pPr>
        <w:pStyle w:val="Heading1"/>
      </w:pPr>
      <w:bookmarkStart w:id="13" w:name="_Toc514421206"/>
      <w:r w:rsidRPr="00EE0C08">
        <w:lastRenderedPageBreak/>
        <w:t>Appendices</w:t>
      </w:r>
      <w:bookmarkEnd w:id="13"/>
      <w:r w:rsidRPr="00EE0C08">
        <w:t xml:space="preserve"> </w:t>
      </w:r>
    </w:p>
    <w:p w:rsidR="002F4F6E" w:rsidRPr="002F4F6E" w:rsidRDefault="002F4F6E" w:rsidP="00B31DA9">
      <w:pPr>
        <w:pStyle w:val="Heading2"/>
      </w:pPr>
      <w:bookmarkStart w:id="14" w:name="_Toc514421207"/>
      <w:r>
        <w:t>Appendix A</w:t>
      </w:r>
      <w:r w:rsidR="00517951">
        <w:t>:</w:t>
      </w:r>
      <w:r>
        <w:t xml:space="preserve"> </w:t>
      </w:r>
      <w:r w:rsidRPr="002F4F6E">
        <w:t>Data Retention Schedule</w:t>
      </w:r>
      <w:r w:rsidR="00B31DA9">
        <w:t xml:space="preserve">: </w:t>
      </w:r>
      <w:r w:rsidRPr="002F4F6E">
        <w:t>Data Retention for Charities</w:t>
      </w:r>
      <w:bookmarkEnd w:id="14"/>
    </w:p>
    <w:tbl>
      <w:tblPr>
        <w:tblStyle w:val="TableGrid"/>
        <w:tblW w:w="5000" w:type="pct"/>
        <w:tblLook w:val="04A0" w:firstRow="1" w:lastRow="0" w:firstColumn="1" w:lastColumn="0" w:noHBand="0" w:noVBand="1"/>
      </w:tblPr>
      <w:tblGrid>
        <w:gridCol w:w="2832"/>
        <w:gridCol w:w="3685"/>
        <w:gridCol w:w="3112"/>
      </w:tblGrid>
      <w:tr w:rsidR="002F4F6E" w:rsidRPr="007770F4" w:rsidTr="001866B9">
        <w:tc>
          <w:tcPr>
            <w:tcW w:w="1470" w:type="pct"/>
            <w:vAlign w:val="center"/>
            <w:hideMark/>
          </w:tcPr>
          <w:p w:rsidR="002F4F6E" w:rsidRPr="007770F4" w:rsidRDefault="002F4F6E" w:rsidP="002F4F6E">
            <w:pPr>
              <w:tabs>
                <w:tab w:val="num" w:pos="1031"/>
              </w:tabs>
              <w:spacing w:after="160" w:line="259" w:lineRule="auto"/>
              <w:rPr>
                <w:rFonts w:cs="Arial"/>
                <w:b/>
              </w:rPr>
            </w:pPr>
            <w:r w:rsidRPr="007770F4">
              <w:rPr>
                <w:rFonts w:cs="Arial"/>
                <w:b/>
                <w:bCs/>
              </w:rPr>
              <w:t>Record</w:t>
            </w:r>
          </w:p>
        </w:tc>
        <w:tc>
          <w:tcPr>
            <w:tcW w:w="1913" w:type="pct"/>
            <w:vAlign w:val="center"/>
            <w:hideMark/>
          </w:tcPr>
          <w:p w:rsidR="002F4F6E" w:rsidRPr="007770F4" w:rsidRDefault="002F4F6E" w:rsidP="002F4F6E">
            <w:pPr>
              <w:tabs>
                <w:tab w:val="num" w:pos="1031"/>
              </w:tabs>
              <w:spacing w:after="160" w:line="259" w:lineRule="auto"/>
              <w:rPr>
                <w:rFonts w:cs="Arial"/>
                <w:b/>
              </w:rPr>
            </w:pPr>
            <w:r w:rsidRPr="007770F4">
              <w:rPr>
                <w:rFonts w:cs="Arial"/>
                <w:b/>
                <w:bCs/>
              </w:rPr>
              <w:t>Statutory retention period</w:t>
            </w:r>
          </w:p>
        </w:tc>
        <w:tc>
          <w:tcPr>
            <w:tcW w:w="1616" w:type="pct"/>
            <w:vAlign w:val="center"/>
            <w:hideMark/>
          </w:tcPr>
          <w:p w:rsidR="002F4F6E" w:rsidRPr="007770F4" w:rsidRDefault="002F4F6E" w:rsidP="002F4F6E">
            <w:pPr>
              <w:tabs>
                <w:tab w:val="num" w:pos="1031"/>
              </w:tabs>
              <w:spacing w:after="160" w:line="259" w:lineRule="auto"/>
              <w:rPr>
                <w:rFonts w:cs="Arial"/>
                <w:b/>
              </w:rPr>
            </w:pPr>
            <w:r w:rsidRPr="007770F4">
              <w:rPr>
                <w:rFonts w:cs="Arial"/>
                <w:b/>
                <w:bCs/>
              </w:rPr>
              <w:t>Statutory authority</w:t>
            </w:r>
          </w:p>
        </w:tc>
      </w:tr>
      <w:tr w:rsidR="002F4F6E" w:rsidRPr="002F4F6E" w:rsidTr="001866B9">
        <w:tc>
          <w:tcPr>
            <w:tcW w:w="1470" w:type="pct"/>
            <w:vAlign w:val="center"/>
            <w:hideMark/>
          </w:tcPr>
          <w:p w:rsidR="002F4F6E" w:rsidRPr="002F4F6E" w:rsidRDefault="002F4F6E" w:rsidP="00994ABB">
            <w:pPr>
              <w:tabs>
                <w:tab w:val="num" w:pos="1031"/>
              </w:tabs>
              <w:spacing w:after="160" w:line="259" w:lineRule="auto"/>
              <w:jc w:val="left"/>
              <w:rPr>
                <w:rFonts w:cs="Arial"/>
              </w:rPr>
            </w:pPr>
            <w:r w:rsidRPr="002F4F6E">
              <w:rPr>
                <w:rFonts w:cs="Arial"/>
              </w:rPr>
              <w:t>accident books, accident records/reports</w:t>
            </w:r>
          </w:p>
        </w:tc>
        <w:tc>
          <w:tcPr>
            <w:tcW w:w="1913" w:type="pct"/>
            <w:vAlign w:val="center"/>
            <w:hideMark/>
          </w:tcPr>
          <w:p w:rsidR="002F4F6E" w:rsidRPr="002F4F6E" w:rsidRDefault="002F4F6E" w:rsidP="002F4F6E">
            <w:pPr>
              <w:tabs>
                <w:tab w:val="num" w:pos="1031"/>
              </w:tabs>
              <w:spacing w:after="160" w:line="259" w:lineRule="auto"/>
              <w:rPr>
                <w:rFonts w:cs="Arial"/>
              </w:rPr>
            </w:pPr>
            <w:r w:rsidRPr="002F4F6E">
              <w:rPr>
                <w:rFonts w:cs="Arial"/>
              </w:rPr>
              <w:t>3 years after the date of the last entry (see below for accidents involving chemicals or asbestos)</w:t>
            </w:r>
          </w:p>
        </w:tc>
        <w:tc>
          <w:tcPr>
            <w:tcW w:w="1616" w:type="pct"/>
            <w:vAlign w:val="center"/>
            <w:hideMark/>
          </w:tcPr>
          <w:p w:rsidR="002F4F6E" w:rsidRPr="002F4F6E" w:rsidRDefault="002F4F6E" w:rsidP="002F4F6E">
            <w:pPr>
              <w:tabs>
                <w:tab w:val="num" w:pos="1031"/>
              </w:tabs>
              <w:spacing w:after="160" w:line="259" w:lineRule="auto"/>
              <w:rPr>
                <w:rFonts w:cs="Arial"/>
              </w:rPr>
            </w:pPr>
            <w:r w:rsidRPr="002F4F6E">
              <w:rPr>
                <w:rFonts w:cs="Arial"/>
              </w:rPr>
              <w:t>The Reporting of Injuries, Diseases and Dangerous Occurrences Regulations 1995 (RIDDOR)</w:t>
            </w:r>
          </w:p>
          <w:p w:rsidR="002F4F6E" w:rsidRPr="002F4F6E" w:rsidRDefault="002F4F6E" w:rsidP="002F4F6E">
            <w:pPr>
              <w:tabs>
                <w:tab w:val="num" w:pos="1031"/>
              </w:tabs>
              <w:spacing w:after="160" w:line="259" w:lineRule="auto"/>
              <w:rPr>
                <w:rFonts w:cs="Arial"/>
              </w:rPr>
            </w:pPr>
            <w:r w:rsidRPr="002F4F6E">
              <w:rPr>
                <w:rFonts w:cs="Arial"/>
              </w:rPr>
              <w:t>(SI 1995/3163) as amended</w:t>
            </w:r>
          </w:p>
        </w:tc>
      </w:tr>
      <w:tr w:rsidR="002F4F6E" w:rsidRPr="002F4F6E" w:rsidTr="001866B9">
        <w:tc>
          <w:tcPr>
            <w:tcW w:w="1470" w:type="pct"/>
            <w:vAlign w:val="center"/>
            <w:hideMark/>
          </w:tcPr>
          <w:p w:rsidR="002F4F6E" w:rsidRPr="002F4F6E" w:rsidRDefault="002F4F6E" w:rsidP="002F4F6E">
            <w:pPr>
              <w:tabs>
                <w:tab w:val="num" w:pos="1031"/>
              </w:tabs>
              <w:spacing w:after="160" w:line="259" w:lineRule="auto"/>
              <w:rPr>
                <w:rFonts w:cs="Arial"/>
              </w:rPr>
            </w:pPr>
            <w:r w:rsidRPr="002F4F6E">
              <w:rPr>
                <w:rFonts w:cs="Arial"/>
              </w:rPr>
              <w:t>accounting records</w:t>
            </w:r>
          </w:p>
        </w:tc>
        <w:tc>
          <w:tcPr>
            <w:tcW w:w="1913" w:type="pct"/>
            <w:vAlign w:val="center"/>
            <w:hideMark/>
          </w:tcPr>
          <w:p w:rsidR="002F4F6E" w:rsidRPr="002F4F6E" w:rsidRDefault="002F4F6E" w:rsidP="002F4F6E">
            <w:pPr>
              <w:tabs>
                <w:tab w:val="num" w:pos="1031"/>
              </w:tabs>
              <w:spacing w:after="160" w:line="259" w:lineRule="auto"/>
              <w:rPr>
                <w:rFonts w:cs="Arial"/>
              </w:rPr>
            </w:pPr>
            <w:r w:rsidRPr="002F4F6E">
              <w:rPr>
                <w:rFonts w:cs="Arial"/>
              </w:rPr>
              <w:t>3 years for privat</w:t>
            </w:r>
            <w:r>
              <w:rPr>
                <w:rFonts w:cs="Arial"/>
              </w:rPr>
              <w:t xml:space="preserve">e companies, 6 years for public </w:t>
            </w:r>
            <w:r w:rsidRPr="002F4F6E">
              <w:rPr>
                <w:rFonts w:cs="Arial"/>
              </w:rPr>
              <w:t>limited companies</w:t>
            </w:r>
          </w:p>
        </w:tc>
        <w:tc>
          <w:tcPr>
            <w:tcW w:w="1616" w:type="pct"/>
            <w:vAlign w:val="center"/>
            <w:hideMark/>
          </w:tcPr>
          <w:p w:rsidR="002F4F6E" w:rsidRPr="002F4F6E" w:rsidRDefault="002F4F6E" w:rsidP="002F4F6E">
            <w:pPr>
              <w:tabs>
                <w:tab w:val="num" w:pos="1031"/>
              </w:tabs>
              <w:spacing w:after="160" w:line="259" w:lineRule="auto"/>
              <w:rPr>
                <w:rFonts w:cs="Arial"/>
              </w:rPr>
            </w:pPr>
            <w:r w:rsidRPr="002F4F6E">
              <w:rPr>
                <w:rFonts w:cs="Arial"/>
              </w:rPr>
              <w:t>Section 221 of the Companies Act 1985 as modified by the Companies Acts 1989 and 2006</w:t>
            </w:r>
          </w:p>
        </w:tc>
      </w:tr>
      <w:tr w:rsidR="002F4F6E" w:rsidRPr="002F4F6E" w:rsidTr="001866B9">
        <w:tc>
          <w:tcPr>
            <w:tcW w:w="1470" w:type="pct"/>
            <w:vAlign w:val="center"/>
            <w:hideMark/>
          </w:tcPr>
          <w:p w:rsidR="002F4F6E" w:rsidRPr="002F4F6E" w:rsidRDefault="002F4F6E" w:rsidP="002F4F6E">
            <w:pPr>
              <w:tabs>
                <w:tab w:val="num" w:pos="1031"/>
              </w:tabs>
              <w:spacing w:after="160" w:line="259" w:lineRule="auto"/>
              <w:rPr>
                <w:rFonts w:cs="Arial"/>
              </w:rPr>
            </w:pPr>
            <w:r w:rsidRPr="002F4F6E">
              <w:rPr>
                <w:rFonts w:cs="Arial"/>
              </w:rPr>
              <w:t>income tax and NI returns, income tax records and correspondence with the Inland Revenue</w:t>
            </w:r>
          </w:p>
        </w:tc>
        <w:tc>
          <w:tcPr>
            <w:tcW w:w="1913" w:type="pct"/>
            <w:vAlign w:val="center"/>
            <w:hideMark/>
          </w:tcPr>
          <w:p w:rsidR="002F4F6E" w:rsidRPr="002F4F6E" w:rsidRDefault="002F4F6E" w:rsidP="002F4F6E">
            <w:pPr>
              <w:tabs>
                <w:tab w:val="num" w:pos="1031"/>
              </w:tabs>
              <w:spacing w:after="160" w:line="259" w:lineRule="auto"/>
              <w:rPr>
                <w:rFonts w:cs="Arial"/>
              </w:rPr>
            </w:pPr>
            <w:r w:rsidRPr="002F4F6E">
              <w:rPr>
                <w:rFonts w:cs="Arial"/>
              </w:rPr>
              <w:t>not less than 3 years after the end of the financial year to which they relate</w:t>
            </w:r>
          </w:p>
        </w:tc>
        <w:tc>
          <w:tcPr>
            <w:tcW w:w="1616" w:type="pct"/>
            <w:vAlign w:val="center"/>
            <w:hideMark/>
          </w:tcPr>
          <w:p w:rsidR="002F4F6E" w:rsidRPr="002F4F6E" w:rsidRDefault="002F4F6E" w:rsidP="002F4F6E">
            <w:pPr>
              <w:tabs>
                <w:tab w:val="num" w:pos="1031"/>
              </w:tabs>
              <w:spacing w:after="160" w:line="259" w:lineRule="auto"/>
              <w:rPr>
                <w:rFonts w:cs="Arial"/>
              </w:rPr>
            </w:pPr>
            <w:r w:rsidRPr="002F4F6E">
              <w:rPr>
                <w:rFonts w:cs="Arial"/>
              </w:rPr>
              <w:t>The Income Tax (Employments) Regulations 1993</w:t>
            </w:r>
          </w:p>
          <w:p w:rsidR="002F4F6E" w:rsidRPr="002F4F6E" w:rsidRDefault="002F4F6E" w:rsidP="002F4F6E">
            <w:pPr>
              <w:tabs>
                <w:tab w:val="num" w:pos="1031"/>
              </w:tabs>
              <w:spacing w:after="160" w:line="259" w:lineRule="auto"/>
              <w:rPr>
                <w:rFonts w:cs="Arial"/>
              </w:rPr>
            </w:pPr>
            <w:r w:rsidRPr="002F4F6E">
              <w:rPr>
                <w:rFonts w:cs="Arial"/>
              </w:rPr>
              <w:t>(SI 1993/744) as amended, for example by The Income Tax (Employments) (Amendment No. 6) Regulations 1996 (SI 1996/2631)</w:t>
            </w:r>
          </w:p>
        </w:tc>
      </w:tr>
      <w:tr w:rsidR="002F4F6E" w:rsidRPr="002F4F6E" w:rsidTr="001866B9">
        <w:tc>
          <w:tcPr>
            <w:tcW w:w="1470" w:type="pct"/>
            <w:vAlign w:val="center"/>
            <w:hideMark/>
          </w:tcPr>
          <w:p w:rsidR="002F4F6E" w:rsidRPr="002F4F6E" w:rsidRDefault="002F4F6E" w:rsidP="002F4F6E">
            <w:pPr>
              <w:tabs>
                <w:tab w:val="num" w:pos="1031"/>
              </w:tabs>
              <w:spacing w:after="160" w:line="259" w:lineRule="auto"/>
              <w:rPr>
                <w:rFonts w:cs="Arial"/>
              </w:rPr>
            </w:pPr>
            <w:r w:rsidRPr="002F4F6E">
              <w:rPr>
                <w:rFonts w:cs="Arial"/>
              </w:rPr>
              <w:t>medical records and details of biological tests under the Control of Lead at Work Regulations</w:t>
            </w:r>
          </w:p>
        </w:tc>
        <w:tc>
          <w:tcPr>
            <w:tcW w:w="1913" w:type="pct"/>
            <w:vAlign w:val="center"/>
            <w:hideMark/>
          </w:tcPr>
          <w:p w:rsidR="002F4F6E" w:rsidRPr="002F4F6E" w:rsidRDefault="002F4F6E" w:rsidP="002F4F6E">
            <w:pPr>
              <w:tabs>
                <w:tab w:val="num" w:pos="1031"/>
              </w:tabs>
              <w:spacing w:after="160" w:line="259" w:lineRule="auto"/>
              <w:rPr>
                <w:rFonts w:cs="Arial"/>
              </w:rPr>
            </w:pPr>
            <w:r w:rsidRPr="002F4F6E">
              <w:rPr>
                <w:rFonts w:cs="Arial"/>
              </w:rPr>
              <w:t>40 years from the date of the last entry</w:t>
            </w:r>
          </w:p>
        </w:tc>
        <w:tc>
          <w:tcPr>
            <w:tcW w:w="1616" w:type="pct"/>
            <w:vAlign w:val="center"/>
            <w:hideMark/>
          </w:tcPr>
          <w:p w:rsidR="002F4F6E" w:rsidRPr="002F4F6E" w:rsidRDefault="002F4F6E" w:rsidP="002F4F6E">
            <w:pPr>
              <w:tabs>
                <w:tab w:val="num" w:pos="1031"/>
              </w:tabs>
              <w:spacing w:after="160" w:line="259" w:lineRule="auto"/>
              <w:rPr>
                <w:rFonts w:cs="Arial"/>
              </w:rPr>
            </w:pPr>
            <w:r w:rsidRPr="002F4F6E">
              <w:rPr>
                <w:rFonts w:cs="Arial"/>
              </w:rPr>
              <w:t>The Control of Lead at Work Regulations 1998</w:t>
            </w:r>
          </w:p>
          <w:p w:rsidR="002F4F6E" w:rsidRPr="002F4F6E" w:rsidRDefault="002F4F6E" w:rsidP="002F4F6E">
            <w:pPr>
              <w:tabs>
                <w:tab w:val="num" w:pos="1031"/>
              </w:tabs>
              <w:spacing w:after="160" w:line="259" w:lineRule="auto"/>
              <w:rPr>
                <w:rFonts w:cs="Arial"/>
              </w:rPr>
            </w:pPr>
            <w:r w:rsidRPr="002F4F6E">
              <w:rPr>
                <w:rFonts w:cs="Arial"/>
              </w:rPr>
              <w:t>(SI 1998/543) as amended by the Control of Lead at Work Regulations 2002 (SI 2002/2676)</w:t>
            </w:r>
          </w:p>
        </w:tc>
      </w:tr>
      <w:tr w:rsidR="002F4F6E" w:rsidRPr="002F4F6E" w:rsidTr="001866B9">
        <w:tc>
          <w:tcPr>
            <w:tcW w:w="1470" w:type="pct"/>
            <w:vAlign w:val="center"/>
            <w:hideMark/>
          </w:tcPr>
          <w:p w:rsidR="002F4F6E" w:rsidRPr="002F4F6E" w:rsidRDefault="002F4F6E" w:rsidP="002F4F6E">
            <w:pPr>
              <w:tabs>
                <w:tab w:val="num" w:pos="1031"/>
              </w:tabs>
              <w:spacing w:after="160" w:line="259" w:lineRule="auto"/>
              <w:rPr>
                <w:rFonts w:cs="Arial"/>
              </w:rPr>
            </w:pPr>
            <w:r w:rsidRPr="002F4F6E">
              <w:rPr>
                <w:rFonts w:cs="Arial"/>
              </w:rPr>
              <w:t>medical records as specified by the Control of Substances Hazardous to Health Regulations (COSHH)</w:t>
            </w:r>
          </w:p>
        </w:tc>
        <w:tc>
          <w:tcPr>
            <w:tcW w:w="1913" w:type="pct"/>
            <w:vAlign w:val="center"/>
            <w:hideMark/>
          </w:tcPr>
          <w:p w:rsidR="002F4F6E" w:rsidRPr="002F4F6E" w:rsidRDefault="002F4F6E" w:rsidP="002F4F6E">
            <w:pPr>
              <w:tabs>
                <w:tab w:val="num" w:pos="1031"/>
              </w:tabs>
              <w:spacing w:after="160" w:line="259" w:lineRule="auto"/>
              <w:rPr>
                <w:rFonts w:cs="Arial"/>
              </w:rPr>
            </w:pPr>
            <w:r w:rsidRPr="002F4F6E">
              <w:rPr>
                <w:rFonts w:cs="Arial"/>
              </w:rPr>
              <w:t>40 years from the date of the last entry</w:t>
            </w:r>
          </w:p>
        </w:tc>
        <w:tc>
          <w:tcPr>
            <w:tcW w:w="1616" w:type="pct"/>
            <w:vAlign w:val="center"/>
            <w:hideMark/>
          </w:tcPr>
          <w:p w:rsidR="002F4F6E" w:rsidRPr="002F4F6E" w:rsidRDefault="002F4F6E" w:rsidP="002F4F6E">
            <w:pPr>
              <w:tabs>
                <w:tab w:val="num" w:pos="1031"/>
              </w:tabs>
              <w:spacing w:after="160" w:line="259" w:lineRule="auto"/>
              <w:rPr>
                <w:rFonts w:cs="Arial"/>
              </w:rPr>
            </w:pPr>
            <w:r w:rsidRPr="002F4F6E">
              <w:rPr>
                <w:rFonts w:cs="Arial"/>
              </w:rPr>
              <w:t>The Control of Substances Hazardous to Health Regulations 1999 and 2002 (COSHH) (SIs 1999/437 and 2002/2677)</w:t>
            </w:r>
          </w:p>
        </w:tc>
      </w:tr>
      <w:tr w:rsidR="002F4F6E" w:rsidRPr="002F4F6E" w:rsidTr="001866B9">
        <w:tc>
          <w:tcPr>
            <w:tcW w:w="1470" w:type="pct"/>
            <w:vAlign w:val="center"/>
            <w:hideMark/>
          </w:tcPr>
          <w:p w:rsidR="002F4F6E" w:rsidRPr="002F4F6E" w:rsidRDefault="002F4F6E" w:rsidP="002F4F6E">
            <w:pPr>
              <w:tabs>
                <w:tab w:val="num" w:pos="1031"/>
              </w:tabs>
              <w:spacing w:after="160" w:line="259" w:lineRule="auto"/>
              <w:rPr>
                <w:rFonts w:cs="Arial"/>
              </w:rPr>
            </w:pPr>
            <w:r w:rsidRPr="002F4F6E">
              <w:rPr>
                <w:rFonts w:cs="Arial"/>
              </w:rPr>
              <w:t>medical records under the Control of Asbestos at Work Regulations</w:t>
            </w:r>
          </w:p>
          <w:p w:rsidR="002F4F6E" w:rsidRPr="002F4F6E" w:rsidRDefault="002F4F6E" w:rsidP="00994ABB">
            <w:pPr>
              <w:tabs>
                <w:tab w:val="num" w:pos="1031"/>
              </w:tabs>
              <w:spacing w:after="160" w:line="259" w:lineRule="auto"/>
              <w:jc w:val="left"/>
              <w:rPr>
                <w:rFonts w:cs="Arial"/>
              </w:rPr>
            </w:pPr>
            <w:r w:rsidRPr="002F4F6E">
              <w:rPr>
                <w:rFonts w:cs="Arial"/>
              </w:rPr>
              <w:t>·       medical records containing details of employees exposed to asbestos</w:t>
            </w:r>
          </w:p>
          <w:p w:rsidR="002F4F6E" w:rsidRPr="002F4F6E" w:rsidRDefault="002F4F6E" w:rsidP="00994ABB">
            <w:pPr>
              <w:tabs>
                <w:tab w:val="num" w:pos="1031"/>
              </w:tabs>
              <w:spacing w:after="160" w:line="259" w:lineRule="auto"/>
              <w:jc w:val="left"/>
              <w:rPr>
                <w:rFonts w:cs="Arial"/>
              </w:rPr>
            </w:pPr>
            <w:r w:rsidRPr="002F4F6E">
              <w:rPr>
                <w:rFonts w:cs="Arial"/>
              </w:rPr>
              <w:t>·       medical examination certificates</w:t>
            </w:r>
          </w:p>
        </w:tc>
        <w:tc>
          <w:tcPr>
            <w:tcW w:w="1913" w:type="pct"/>
            <w:vAlign w:val="center"/>
            <w:hideMark/>
          </w:tcPr>
          <w:p w:rsidR="002F4F6E" w:rsidRPr="002F4F6E" w:rsidRDefault="002F4F6E" w:rsidP="002F4F6E">
            <w:pPr>
              <w:numPr>
                <w:ilvl w:val="0"/>
                <w:numId w:val="16"/>
              </w:numPr>
              <w:tabs>
                <w:tab w:val="num" w:pos="1031"/>
              </w:tabs>
              <w:spacing w:after="160" w:line="259" w:lineRule="auto"/>
              <w:rPr>
                <w:rFonts w:cs="Arial"/>
              </w:rPr>
            </w:pPr>
            <w:r w:rsidRPr="002F4F6E">
              <w:rPr>
                <w:rFonts w:cs="Arial"/>
              </w:rPr>
              <w:t>40 years from the date of the last entry</w:t>
            </w:r>
          </w:p>
          <w:p w:rsidR="002F4F6E" w:rsidRPr="002F4F6E" w:rsidRDefault="002F4F6E" w:rsidP="002F4F6E">
            <w:pPr>
              <w:numPr>
                <w:ilvl w:val="0"/>
                <w:numId w:val="16"/>
              </w:numPr>
              <w:tabs>
                <w:tab w:val="num" w:pos="1031"/>
              </w:tabs>
              <w:spacing w:after="160" w:line="259" w:lineRule="auto"/>
              <w:rPr>
                <w:rFonts w:cs="Arial"/>
              </w:rPr>
            </w:pPr>
            <w:r w:rsidRPr="002F4F6E">
              <w:rPr>
                <w:rFonts w:cs="Arial"/>
              </w:rPr>
              <w:t>4 years from the date of issue</w:t>
            </w:r>
          </w:p>
        </w:tc>
        <w:tc>
          <w:tcPr>
            <w:tcW w:w="1616" w:type="pct"/>
            <w:vAlign w:val="center"/>
            <w:hideMark/>
          </w:tcPr>
          <w:p w:rsidR="002F4F6E" w:rsidRPr="002F4F6E" w:rsidRDefault="002F4F6E" w:rsidP="002F4F6E">
            <w:pPr>
              <w:tabs>
                <w:tab w:val="num" w:pos="1031"/>
              </w:tabs>
              <w:spacing w:after="160" w:line="259" w:lineRule="auto"/>
              <w:rPr>
                <w:rFonts w:cs="Arial"/>
              </w:rPr>
            </w:pPr>
            <w:r w:rsidRPr="002F4F6E">
              <w:rPr>
                <w:rFonts w:cs="Arial"/>
              </w:rPr>
              <w:t>The Control of Asbestos at Work Regulations 2002 (SI 2002/ 2675). Also see the Control of Asbestos Regulations 2006 (SI 2006/. 2739)</w:t>
            </w:r>
          </w:p>
        </w:tc>
      </w:tr>
      <w:tr w:rsidR="002F4F6E" w:rsidRPr="002F4F6E" w:rsidTr="001866B9">
        <w:tc>
          <w:tcPr>
            <w:tcW w:w="1470" w:type="pct"/>
            <w:vAlign w:val="center"/>
            <w:hideMark/>
          </w:tcPr>
          <w:p w:rsidR="002F4F6E" w:rsidRPr="002F4F6E" w:rsidRDefault="002F4F6E" w:rsidP="002F4F6E">
            <w:pPr>
              <w:tabs>
                <w:tab w:val="num" w:pos="1031"/>
              </w:tabs>
              <w:spacing w:after="160" w:line="259" w:lineRule="auto"/>
              <w:rPr>
                <w:rFonts w:cs="Arial"/>
              </w:rPr>
            </w:pPr>
            <w:r w:rsidRPr="002F4F6E">
              <w:rPr>
                <w:rFonts w:cs="Arial"/>
              </w:rPr>
              <w:t>medical records under the Ionising Radiations Regulations 1999</w:t>
            </w:r>
          </w:p>
        </w:tc>
        <w:tc>
          <w:tcPr>
            <w:tcW w:w="1913" w:type="pct"/>
            <w:vAlign w:val="center"/>
            <w:hideMark/>
          </w:tcPr>
          <w:p w:rsidR="002F4F6E" w:rsidRPr="002F4F6E" w:rsidRDefault="002F4F6E" w:rsidP="002F4F6E">
            <w:pPr>
              <w:tabs>
                <w:tab w:val="num" w:pos="1031"/>
              </w:tabs>
              <w:spacing w:after="160" w:line="259" w:lineRule="auto"/>
              <w:rPr>
                <w:rFonts w:cs="Arial"/>
              </w:rPr>
            </w:pPr>
            <w:r w:rsidRPr="002F4F6E">
              <w:rPr>
                <w:rFonts w:cs="Arial"/>
              </w:rPr>
              <w:t>until the person reaches 75 years of age, but in any event for at least 50 years</w:t>
            </w:r>
          </w:p>
        </w:tc>
        <w:tc>
          <w:tcPr>
            <w:tcW w:w="1616" w:type="pct"/>
            <w:vAlign w:val="center"/>
            <w:hideMark/>
          </w:tcPr>
          <w:p w:rsidR="002F4F6E" w:rsidRPr="002F4F6E" w:rsidRDefault="002F4F6E" w:rsidP="002F4F6E">
            <w:pPr>
              <w:tabs>
                <w:tab w:val="num" w:pos="1031"/>
              </w:tabs>
              <w:spacing w:after="160" w:line="259" w:lineRule="auto"/>
              <w:rPr>
                <w:rFonts w:cs="Arial"/>
              </w:rPr>
            </w:pPr>
            <w:r w:rsidRPr="002F4F6E">
              <w:rPr>
                <w:rFonts w:cs="Arial"/>
              </w:rPr>
              <w:t>The Ionising Radiations Regulations 1999</w:t>
            </w:r>
          </w:p>
          <w:p w:rsidR="002F4F6E" w:rsidRPr="002F4F6E" w:rsidRDefault="002F4F6E" w:rsidP="002F4F6E">
            <w:pPr>
              <w:tabs>
                <w:tab w:val="num" w:pos="1031"/>
              </w:tabs>
              <w:spacing w:after="160" w:line="259" w:lineRule="auto"/>
              <w:rPr>
                <w:rFonts w:cs="Arial"/>
              </w:rPr>
            </w:pPr>
            <w:r w:rsidRPr="002F4F6E">
              <w:rPr>
                <w:rFonts w:cs="Arial"/>
              </w:rPr>
              <w:t>(SI 1999/3232)</w:t>
            </w:r>
          </w:p>
        </w:tc>
      </w:tr>
      <w:tr w:rsidR="002F4F6E" w:rsidRPr="002F4F6E" w:rsidTr="001866B9">
        <w:tc>
          <w:tcPr>
            <w:tcW w:w="1470" w:type="pct"/>
            <w:vAlign w:val="center"/>
            <w:hideMark/>
          </w:tcPr>
          <w:p w:rsidR="002F4F6E" w:rsidRPr="002F4F6E" w:rsidRDefault="002F4F6E" w:rsidP="002F4F6E">
            <w:pPr>
              <w:tabs>
                <w:tab w:val="num" w:pos="1031"/>
              </w:tabs>
              <w:spacing w:after="160" w:line="259" w:lineRule="auto"/>
              <w:rPr>
                <w:rFonts w:cs="Arial"/>
              </w:rPr>
            </w:pPr>
            <w:r w:rsidRPr="002F4F6E">
              <w:rPr>
                <w:rFonts w:cs="Arial"/>
              </w:rPr>
              <w:lastRenderedPageBreak/>
              <w:t>records of tests and examinations of control systems and protective equipment under the Control of Substances Hazardous to Health Regulations (COSHH)</w:t>
            </w:r>
          </w:p>
        </w:tc>
        <w:tc>
          <w:tcPr>
            <w:tcW w:w="1913" w:type="pct"/>
            <w:vAlign w:val="center"/>
            <w:hideMark/>
          </w:tcPr>
          <w:p w:rsidR="002F4F6E" w:rsidRPr="002F4F6E" w:rsidRDefault="002F4F6E" w:rsidP="002F4F6E">
            <w:pPr>
              <w:tabs>
                <w:tab w:val="num" w:pos="1031"/>
              </w:tabs>
              <w:spacing w:after="160" w:line="259" w:lineRule="auto"/>
              <w:rPr>
                <w:rFonts w:cs="Arial"/>
              </w:rPr>
            </w:pPr>
            <w:r w:rsidRPr="002F4F6E">
              <w:rPr>
                <w:rFonts w:cs="Arial"/>
              </w:rPr>
              <w:t>5 years from the date on which the tests were carried out</w:t>
            </w:r>
          </w:p>
        </w:tc>
        <w:tc>
          <w:tcPr>
            <w:tcW w:w="1616" w:type="pct"/>
            <w:vAlign w:val="center"/>
            <w:hideMark/>
          </w:tcPr>
          <w:p w:rsidR="002F4F6E" w:rsidRPr="002F4F6E" w:rsidRDefault="002F4F6E" w:rsidP="002F4F6E">
            <w:pPr>
              <w:tabs>
                <w:tab w:val="num" w:pos="1031"/>
              </w:tabs>
              <w:spacing w:after="160" w:line="259" w:lineRule="auto"/>
              <w:rPr>
                <w:rFonts w:cs="Arial"/>
              </w:rPr>
            </w:pPr>
            <w:r w:rsidRPr="002F4F6E">
              <w:rPr>
                <w:rFonts w:cs="Arial"/>
              </w:rPr>
              <w:t>The Control of Substances Hazardous to Health Regulations 1999 and 2002 (COSHH) (SIs 1999/437 and 2002/2677)</w:t>
            </w:r>
          </w:p>
        </w:tc>
      </w:tr>
      <w:tr w:rsidR="002F4F6E" w:rsidRPr="002F4F6E" w:rsidTr="001866B9">
        <w:tc>
          <w:tcPr>
            <w:tcW w:w="1470" w:type="pct"/>
            <w:vAlign w:val="center"/>
            <w:hideMark/>
          </w:tcPr>
          <w:p w:rsidR="002F4F6E" w:rsidRPr="002F4F6E" w:rsidRDefault="002F4F6E" w:rsidP="002F4F6E">
            <w:pPr>
              <w:tabs>
                <w:tab w:val="num" w:pos="1031"/>
              </w:tabs>
              <w:spacing w:after="160" w:line="259" w:lineRule="auto"/>
              <w:rPr>
                <w:rFonts w:cs="Arial"/>
              </w:rPr>
            </w:pPr>
            <w:r w:rsidRPr="002F4F6E">
              <w:rPr>
                <w:rFonts w:cs="Arial"/>
              </w:rPr>
              <w:t>records relating to children</w:t>
            </w:r>
          </w:p>
        </w:tc>
        <w:tc>
          <w:tcPr>
            <w:tcW w:w="1913" w:type="pct"/>
            <w:vAlign w:val="center"/>
            <w:hideMark/>
          </w:tcPr>
          <w:p w:rsidR="002F4F6E" w:rsidRPr="002F4F6E" w:rsidRDefault="002F4F6E" w:rsidP="002F4F6E">
            <w:pPr>
              <w:tabs>
                <w:tab w:val="num" w:pos="1031"/>
              </w:tabs>
              <w:spacing w:after="160" w:line="259" w:lineRule="auto"/>
              <w:rPr>
                <w:rFonts w:cs="Arial"/>
              </w:rPr>
            </w:pPr>
            <w:r w:rsidRPr="002F4F6E">
              <w:rPr>
                <w:rFonts w:cs="Arial"/>
              </w:rPr>
              <w:t>until the child reaches the age of 21</w:t>
            </w:r>
          </w:p>
        </w:tc>
        <w:tc>
          <w:tcPr>
            <w:tcW w:w="1616" w:type="pct"/>
            <w:vAlign w:val="center"/>
            <w:hideMark/>
          </w:tcPr>
          <w:p w:rsidR="002F4F6E" w:rsidRPr="002F4F6E" w:rsidRDefault="002F4F6E" w:rsidP="002F4F6E">
            <w:pPr>
              <w:tabs>
                <w:tab w:val="num" w:pos="1031"/>
              </w:tabs>
              <w:spacing w:after="160" w:line="259" w:lineRule="auto"/>
              <w:rPr>
                <w:rFonts w:cs="Arial"/>
              </w:rPr>
            </w:pPr>
            <w:r w:rsidRPr="002F4F6E">
              <w:rPr>
                <w:rFonts w:cs="Arial"/>
              </w:rPr>
              <w:t>Limitation Act 1980</w:t>
            </w:r>
          </w:p>
        </w:tc>
      </w:tr>
      <w:tr w:rsidR="002F4F6E" w:rsidRPr="002F4F6E" w:rsidTr="001866B9">
        <w:tc>
          <w:tcPr>
            <w:tcW w:w="1470" w:type="pct"/>
            <w:vAlign w:val="center"/>
            <w:hideMark/>
          </w:tcPr>
          <w:p w:rsidR="002F4F6E" w:rsidRPr="002F4F6E" w:rsidRDefault="002F4F6E" w:rsidP="002F4F6E">
            <w:pPr>
              <w:tabs>
                <w:tab w:val="num" w:pos="1031"/>
              </w:tabs>
              <w:spacing w:after="160" w:line="259" w:lineRule="auto"/>
              <w:rPr>
                <w:rFonts w:cs="Arial"/>
              </w:rPr>
            </w:pPr>
            <w:r w:rsidRPr="002F4F6E">
              <w:rPr>
                <w:rFonts w:cs="Arial"/>
              </w:rPr>
              <w:t>records relating to events notifiable under the Retirement Benefits Schemes (Information Powers) Regulations 1995, records concerning decisions to allow retirement due to incapacity, pension accounts and associated documents</w:t>
            </w:r>
          </w:p>
        </w:tc>
        <w:tc>
          <w:tcPr>
            <w:tcW w:w="1913" w:type="pct"/>
            <w:vAlign w:val="center"/>
            <w:hideMark/>
          </w:tcPr>
          <w:p w:rsidR="002F4F6E" w:rsidRPr="002F4F6E" w:rsidRDefault="002F4F6E" w:rsidP="002F4F6E">
            <w:pPr>
              <w:tabs>
                <w:tab w:val="num" w:pos="1031"/>
              </w:tabs>
              <w:spacing w:after="160" w:line="259" w:lineRule="auto"/>
              <w:rPr>
                <w:rFonts w:cs="Arial"/>
              </w:rPr>
            </w:pPr>
            <w:r w:rsidRPr="002F4F6E">
              <w:rPr>
                <w:rFonts w:cs="Arial"/>
              </w:rPr>
              <w:t>6 years from the end of the scheme year in which the event took place, or the date upon which the accounts/reports were signed/completed.</w:t>
            </w:r>
          </w:p>
        </w:tc>
        <w:tc>
          <w:tcPr>
            <w:tcW w:w="1616" w:type="pct"/>
            <w:vAlign w:val="center"/>
            <w:hideMark/>
          </w:tcPr>
          <w:p w:rsidR="002F4F6E" w:rsidRPr="002F4F6E" w:rsidRDefault="002F4F6E" w:rsidP="002F4F6E">
            <w:pPr>
              <w:tabs>
                <w:tab w:val="num" w:pos="1031"/>
              </w:tabs>
              <w:spacing w:after="160" w:line="259" w:lineRule="auto"/>
              <w:rPr>
                <w:rFonts w:cs="Arial"/>
              </w:rPr>
            </w:pPr>
            <w:r w:rsidRPr="002F4F6E">
              <w:rPr>
                <w:rFonts w:cs="Arial"/>
              </w:rPr>
              <w:t>The Retirement Benefits Schemes (Information Powers) Regulations 1995</w:t>
            </w:r>
          </w:p>
          <w:p w:rsidR="002F4F6E" w:rsidRPr="002F4F6E" w:rsidRDefault="002F4F6E" w:rsidP="002F4F6E">
            <w:pPr>
              <w:tabs>
                <w:tab w:val="num" w:pos="1031"/>
              </w:tabs>
              <w:spacing w:after="160" w:line="259" w:lineRule="auto"/>
              <w:rPr>
                <w:rFonts w:cs="Arial"/>
              </w:rPr>
            </w:pPr>
            <w:r w:rsidRPr="002F4F6E">
              <w:rPr>
                <w:rFonts w:cs="Arial"/>
              </w:rPr>
              <w:t>(SI 1995/3103)</w:t>
            </w:r>
          </w:p>
        </w:tc>
      </w:tr>
      <w:tr w:rsidR="002F4F6E" w:rsidRPr="002F4F6E" w:rsidTr="001866B9">
        <w:tc>
          <w:tcPr>
            <w:tcW w:w="1470" w:type="pct"/>
            <w:vAlign w:val="center"/>
            <w:hideMark/>
          </w:tcPr>
          <w:p w:rsidR="002F4F6E" w:rsidRPr="002F4F6E" w:rsidRDefault="002F4F6E" w:rsidP="002F4F6E">
            <w:pPr>
              <w:tabs>
                <w:tab w:val="num" w:pos="1031"/>
              </w:tabs>
              <w:spacing w:after="160" w:line="259" w:lineRule="auto"/>
              <w:rPr>
                <w:rFonts w:cs="Arial"/>
              </w:rPr>
            </w:pPr>
            <w:r w:rsidRPr="002F4F6E">
              <w:rPr>
                <w:rFonts w:cs="Arial"/>
              </w:rPr>
              <w:t>Statutory Maternity Pay records, calculations, certificates (Mat B1s) or other medical evidence</w:t>
            </w:r>
          </w:p>
        </w:tc>
        <w:tc>
          <w:tcPr>
            <w:tcW w:w="1913" w:type="pct"/>
            <w:vAlign w:val="center"/>
            <w:hideMark/>
          </w:tcPr>
          <w:p w:rsidR="002F4F6E" w:rsidRPr="002F4F6E" w:rsidRDefault="002F4F6E" w:rsidP="002F4F6E">
            <w:pPr>
              <w:tabs>
                <w:tab w:val="num" w:pos="1031"/>
              </w:tabs>
              <w:spacing w:after="160" w:line="259" w:lineRule="auto"/>
              <w:rPr>
                <w:rFonts w:cs="Arial"/>
              </w:rPr>
            </w:pPr>
            <w:r w:rsidRPr="002F4F6E">
              <w:rPr>
                <w:rFonts w:cs="Arial"/>
              </w:rPr>
              <w:t>3 years after the end of the tax year in which the maternity period ends</w:t>
            </w:r>
          </w:p>
        </w:tc>
        <w:tc>
          <w:tcPr>
            <w:tcW w:w="1616" w:type="pct"/>
            <w:vAlign w:val="center"/>
            <w:hideMark/>
          </w:tcPr>
          <w:p w:rsidR="002F4F6E" w:rsidRPr="002F4F6E" w:rsidRDefault="002F4F6E" w:rsidP="002F4F6E">
            <w:pPr>
              <w:tabs>
                <w:tab w:val="num" w:pos="1031"/>
              </w:tabs>
              <w:spacing w:after="160" w:line="259" w:lineRule="auto"/>
              <w:rPr>
                <w:rFonts w:cs="Arial"/>
              </w:rPr>
            </w:pPr>
            <w:r w:rsidRPr="002F4F6E">
              <w:rPr>
                <w:rFonts w:cs="Arial"/>
              </w:rPr>
              <w:t>The Statutory Maternity Pay (General) Regulations 1986</w:t>
            </w:r>
          </w:p>
          <w:p w:rsidR="002F4F6E" w:rsidRPr="002F4F6E" w:rsidRDefault="002F4F6E" w:rsidP="002F4F6E">
            <w:pPr>
              <w:tabs>
                <w:tab w:val="num" w:pos="1031"/>
              </w:tabs>
              <w:spacing w:after="160" w:line="259" w:lineRule="auto"/>
              <w:rPr>
                <w:rFonts w:cs="Arial"/>
              </w:rPr>
            </w:pPr>
            <w:r w:rsidRPr="002F4F6E">
              <w:rPr>
                <w:rFonts w:cs="Arial"/>
              </w:rPr>
              <w:t>(SI 1986/1960) as amended</w:t>
            </w:r>
          </w:p>
        </w:tc>
      </w:tr>
      <w:tr w:rsidR="002F4F6E" w:rsidRPr="002F4F6E" w:rsidTr="001866B9">
        <w:tc>
          <w:tcPr>
            <w:tcW w:w="1470" w:type="pct"/>
            <w:vAlign w:val="center"/>
            <w:hideMark/>
          </w:tcPr>
          <w:p w:rsidR="002F4F6E" w:rsidRPr="002F4F6E" w:rsidRDefault="002F4F6E" w:rsidP="002F4F6E">
            <w:pPr>
              <w:tabs>
                <w:tab w:val="num" w:pos="1031"/>
              </w:tabs>
              <w:spacing w:after="160" w:line="259" w:lineRule="auto"/>
              <w:rPr>
                <w:rFonts w:cs="Arial"/>
              </w:rPr>
            </w:pPr>
            <w:r w:rsidRPr="002F4F6E">
              <w:rPr>
                <w:rFonts w:cs="Arial"/>
              </w:rPr>
              <w:t>Statutory Sick Pay records, calculations, certificates, self-certificates</w:t>
            </w:r>
          </w:p>
        </w:tc>
        <w:tc>
          <w:tcPr>
            <w:tcW w:w="1913" w:type="pct"/>
            <w:vAlign w:val="center"/>
            <w:hideMark/>
          </w:tcPr>
          <w:p w:rsidR="002F4F6E" w:rsidRPr="002F4F6E" w:rsidRDefault="002F4F6E" w:rsidP="002F4F6E">
            <w:pPr>
              <w:tabs>
                <w:tab w:val="num" w:pos="1031"/>
              </w:tabs>
              <w:spacing w:after="160" w:line="259" w:lineRule="auto"/>
              <w:rPr>
                <w:rFonts w:cs="Arial"/>
              </w:rPr>
            </w:pPr>
            <w:r w:rsidRPr="002F4F6E">
              <w:rPr>
                <w:rFonts w:cs="Arial"/>
              </w:rPr>
              <w:t>3 years after the end of the tax year to which they relate</w:t>
            </w:r>
          </w:p>
        </w:tc>
        <w:tc>
          <w:tcPr>
            <w:tcW w:w="1616" w:type="pct"/>
            <w:vAlign w:val="center"/>
            <w:hideMark/>
          </w:tcPr>
          <w:p w:rsidR="002F4F6E" w:rsidRPr="002F4F6E" w:rsidRDefault="002F4F6E" w:rsidP="002F4F6E">
            <w:pPr>
              <w:tabs>
                <w:tab w:val="num" w:pos="1031"/>
              </w:tabs>
              <w:spacing w:after="160" w:line="259" w:lineRule="auto"/>
              <w:rPr>
                <w:rFonts w:cs="Arial"/>
              </w:rPr>
            </w:pPr>
            <w:r w:rsidRPr="002F4F6E">
              <w:rPr>
                <w:rFonts w:cs="Arial"/>
              </w:rPr>
              <w:t>The Statutory Sick Pay (General) Regulations 1982</w:t>
            </w:r>
          </w:p>
          <w:p w:rsidR="002F4F6E" w:rsidRPr="002F4F6E" w:rsidRDefault="002F4F6E" w:rsidP="002F4F6E">
            <w:pPr>
              <w:tabs>
                <w:tab w:val="num" w:pos="1031"/>
              </w:tabs>
              <w:spacing w:after="160" w:line="259" w:lineRule="auto"/>
              <w:rPr>
                <w:rFonts w:cs="Arial"/>
              </w:rPr>
            </w:pPr>
            <w:r w:rsidRPr="002F4F6E">
              <w:rPr>
                <w:rFonts w:cs="Arial"/>
              </w:rPr>
              <w:t>(SI 1982/894) as amended</w:t>
            </w:r>
          </w:p>
        </w:tc>
      </w:tr>
      <w:tr w:rsidR="002F4F6E" w:rsidRPr="002F4F6E" w:rsidTr="001866B9">
        <w:tc>
          <w:tcPr>
            <w:tcW w:w="1470" w:type="pct"/>
            <w:vAlign w:val="center"/>
            <w:hideMark/>
          </w:tcPr>
          <w:p w:rsidR="002F4F6E" w:rsidRPr="002F4F6E" w:rsidRDefault="002F4F6E" w:rsidP="002F4F6E">
            <w:pPr>
              <w:tabs>
                <w:tab w:val="num" w:pos="1031"/>
              </w:tabs>
              <w:spacing w:after="160" w:line="259" w:lineRule="auto"/>
              <w:rPr>
                <w:rFonts w:cs="Arial"/>
              </w:rPr>
            </w:pPr>
            <w:r w:rsidRPr="002F4F6E">
              <w:rPr>
                <w:rFonts w:cs="Arial"/>
              </w:rPr>
              <w:t>wage/salary records (also overtime, bonuses, expenses)</w:t>
            </w:r>
          </w:p>
        </w:tc>
        <w:tc>
          <w:tcPr>
            <w:tcW w:w="1913" w:type="pct"/>
            <w:vAlign w:val="center"/>
            <w:hideMark/>
          </w:tcPr>
          <w:p w:rsidR="002F4F6E" w:rsidRPr="002F4F6E" w:rsidRDefault="002F4F6E" w:rsidP="002F4F6E">
            <w:pPr>
              <w:tabs>
                <w:tab w:val="num" w:pos="1031"/>
              </w:tabs>
              <w:spacing w:after="160" w:line="259" w:lineRule="auto"/>
              <w:rPr>
                <w:rFonts w:cs="Arial"/>
              </w:rPr>
            </w:pPr>
            <w:r w:rsidRPr="002F4F6E">
              <w:rPr>
                <w:rFonts w:cs="Arial"/>
              </w:rPr>
              <w:t>6 years</w:t>
            </w:r>
          </w:p>
        </w:tc>
        <w:tc>
          <w:tcPr>
            <w:tcW w:w="1616" w:type="pct"/>
            <w:vAlign w:val="center"/>
            <w:hideMark/>
          </w:tcPr>
          <w:p w:rsidR="002F4F6E" w:rsidRPr="002F4F6E" w:rsidRDefault="002F4F6E" w:rsidP="002F4F6E">
            <w:pPr>
              <w:tabs>
                <w:tab w:val="num" w:pos="1031"/>
              </w:tabs>
              <w:spacing w:after="160" w:line="259" w:lineRule="auto"/>
              <w:rPr>
                <w:rFonts w:cs="Arial"/>
              </w:rPr>
            </w:pPr>
            <w:r w:rsidRPr="002F4F6E">
              <w:rPr>
                <w:rFonts w:cs="Arial"/>
              </w:rPr>
              <w:t>Taxes Management Act 1970</w:t>
            </w:r>
          </w:p>
        </w:tc>
      </w:tr>
    </w:tbl>
    <w:p w:rsidR="002F4F6E" w:rsidRDefault="002F4F6E" w:rsidP="002F4F6E">
      <w:pPr>
        <w:tabs>
          <w:tab w:val="num" w:pos="1031"/>
        </w:tabs>
        <w:rPr>
          <w:rFonts w:cs="Arial"/>
          <w:bCs/>
        </w:rPr>
      </w:pPr>
    </w:p>
    <w:p w:rsidR="007770F4" w:rsidRDefault="007770F4">
      <w:pPr>
        <w:rPr>
          <w:rFonts w:ascii="Verdana" w:eastAsia="Times New Roman" w:hAnsi="Verdana" w:cs="Arial"/>
          <w:b/>
          <w:bCs/>
          <w:sz w:val="20"/>
          <w:szCs w:val="26"/>
        </w:rPr>
      </w:pPr>
      <w:r>
        <w:br w:type="page"/>
      </w:r>
    </w:p>
    <w:p w:rsidR="00B31DA9" w:rsidRDefault="00B31DA9" w:rsidP="007770F4">
      <w:pPr>
        <w:pStyle w:val="Heading3"/>
      </w:pPr>
    </w:p>
    <w:p w:rsidR="00B31DA9" w:rsidRPr="002F4F6E" w:rsidRDefault="00B31DA9" w:rsidP="00B31DA9">
      <w:pPr>
        <w:pStyle w:val="Heading2"/>
      </w:pPr>
      <w:bookmarkStart w:id="15" w:name="_Toc514421208"/>
      <w:r>
        <w:t xml:space="preserve">Appendix B: </w:t>
      </w:r>
      <w:r w:rsidRPr="002F4F6E">
        <w:t>Data Retention Schedule</w:t>
      </w:r>
      <w:r>
        <w:t>: HR/Finance/People related</w:t>
      </w:r>
      <w:bookmarkEnd w:id="15"/>
    </w:p>
    <w:p w:rsidR="002F4F6E" w:rsidRPr="002F4F6E" w:rsidRDefault="002F4F6E" w:rsidP="007770F4">
      <w:pPr>
        <w:pStyle w:val="Heading3"/>
      </w:pPr>
      <w:bookmarkStart w:id="16" w:name="_Toc514421209"/>
      <w:r w:rsidRPr="002F4F6E">
        <w:t>Recommended retention periods (i.e. where no statutory retention periods exist)</w:t>
      </w:r>
      <w:bookmarkEnd w:id="16"/>
    </w:p>
    <w:p w:rsidR="002F4F6E" w:rsidRPr="002F4F6E" w:rsidRDefault="002F4F6E" w:rsidP="002F4F6E">
      <w:pPr>
        <w:tabs>
          <w:tab w:val="num" w:pos="1031"/>
        </w:tabs>
        <w:rPr>
          <w:rFonts w:cs="Arial"/>
        </w:rPr>
      </w:pPr>
      <w:r w:rsidRPr="002F4F6E">
        <w:rPr>
          <w:rFonts w:cs="Arial"/>
        </w:rPr>
        <w:t>For many types of personnel records, there is no definitive retention period: it is up to the employer to decide how long to keep these records and it’s a question of judgment. An employer needs to consider what would be a necessary retention period, depending on the type of record. The advice in this factsheet is based on the time limits for potential tribunal or civil claims and aims to draw sensible conclusions as to how long keeping the records will protect an employer.</w:t>
      </w:r>
    </w:p>
    <w:p w:rsidR="002F4F6E" w:rsidRDefault="002F4F6E" w:rsidP="002F4F6E">
      <w:pPr>
        <w:tabs>
          <w:tab w:val="num" w:pos="1031"/>
        </w:tabs>
        <w:rPr>
          <w:rFonts w:cs="Arial"/>
        </w:rPr>
      </w:pPr>
      <w:r w:rsidRPr="002F4F6E">
        <w:rPr>
          <w:rFonts w:cs="Arial"/>
        </w:rPr>
        <w:t>Where the recommended retention period given is 6 years, this is based on the 6-year time limit within which legal proceedings must be commenced as laid down under the Limitation Act 1980. Thus, where documents may be relevant to a contractual claim, it is recommended that these be retained for at least the corresponding 6-year limitation period.</w:t>
      </w:r>
    </w:p>
    <w:p w:rsidR="007770F4" w:rsidRPr="002F4F6E" w:rsidRDefault="007770F4" w:rsidP="002F4F6E">
      <w:pPr>
        <w:tabs>
          <w:tab w:val="num" w:pos="1031"/>
        </w:tabs>
        <w:rPr>
          <w:rFonts w:cs="Arial"/>
        </w:rPr>
      </w:pPr>
    </w:p>
    <w:tbl>
      <w:tblPr>
        <w:tblStyle w:val="TableGrid"/>
        <w:tblW w:w="4929" w:type="pct"/>
        <w:tblLook w:val="04A0" w:firstRow="1" w:lastRow="0" w:firstColumn="1" w:lastColumn="0" w:noHBand="0" w:noVBand="1"/>
      </w:tblPr>
      <w:tblGrid>
        <w:gridCol w:w="4106"/>
        <w:gridCol w:w="5386"/>
      </w:tblGrid>
      <w:tr w:rsidR="002F4F6E" w:rsidRPr="007770F4" w:rsidTr="001866B9">
        <w:tc>
          <w:tcPr>
            <w:tcW w:w="2163" w:type="pct"/>
            <w:vAlign w:val="center"/>
            <w:hideMark/>
          </w:tcPr>
          <w:p w:rsidR="002F4F6E" w:rsidRPr="007770F4" w:rsidRDefault="002F4F6E" w:rsidP="002F4F6E">
            <w:pPr>
              <w:tabs>
                <w:tab w:val="num" w:pos="1031"/>
              </w:tabs>
              <w:spacing w:after="160" w:line="259" w:lineRule="auto"/>
              <w:rPr>
                <w:rFonts w:cs="Arial"/>
                <w:b/>
              </w:rPr>
            </w:pPr>
            <w:r w:rsidRPr="007770F4">
              <w:rPr>
                <w:rFonts w:cs="Arial"/>
                <w:b/>
                <w:bCs/>
              </w:rPr>
              <w:t>Record</w:t>
            </w:r>
          </w:p>
        </w:tc>
        <w:tc>
          <w:tcPr>
            <w:tcW w:w="2837" w:type="pct"/>
            <w:vAlign w:val="center"/>
            <w:hideMark/>
          </w:tcPr>
          <w:p w:rsidR="002F4F6E" w:rsidRPr="007770F4" w:rsidRDefault="002F4F6E" w:rsidP="002F4F6E">
            <w:pPr>
              <w:tabs>
                <w:tab w:val="num" w:pos="1031"/>
              </w:tabs>
              <w:spacing w:after="160" w:line="259" w:lineRule="auto"/>
              <w:rPr>
                <w:rFonts w:cs="Arial"/>
                <w:b/>
              </w:rPr>
            </w:pPr>
            <w:r w:rsidRPr="007770F4">
              <w:rPr>
                <w:rFonts w:cs="Arial"/>
                <w:b/>
                <w:bCs/>
              </w:rPr>
              <w:t>Recommended retention period</w:t>
            </w:r>
          </w:p>
        </w:tc>
      </w:tr>
      <w:tr w:rsidR="002F4F6E" w:rsidRPr="002F4F6E" w:rsidTr="001866B9">
        <w:tc>
          <w:tcPr>
            <w:tcW w:w="2163" w:type="pct"/>
            <w:vAlign w:val="center"/>
            <w:hideMark/>
          </w:tcPr>
          <w:p w:rsidR="002F4F6E" w:rsidRPr="002F4F6E" w:rsidRDefault="002F4F6E" w:rsidP="002F4F6E">
            <w:pPr>
              <w:tabs>
                <w:tab w:val="num" w:pos="1031"/>
              </w:tabs>
              <w:spacing w:after="160" w:line="259" w:lineRule="auto"/>
              <w:rPr>
                <w:rFonts w:cs="Arial"/>
              </w:rPr>
            </w:pPr>
            <w:r w:rsidRPr="002F4F6E">
              <w:rPr>
                <w:rFonts w:cs="Arial"/>
              </w:rPr>
              <w:t>actuarial valuation reports</w:t>
            </w:r>
          </w:p>
        </w:tc>
        <w:tc>
          <w:tcPr>
            <w:tcW w:w="2837" w:type="pct"/>
            <w:vAlign w:val="center"/>
            <w:hideMark/>
          </w:tcPr>
          <w:p w:rsidR="002F4F6E" w:rsidRPr="002F4F6E" w:rsidRDefault="002F4F6E" w:rsidP="002F4F6E">
            <w:pPr>
              <w:tabs>
                <w:tab w:val="num" w:pos="1031"/>
              </w:tabs>
              <w:spacing w:after="160" w:line="259" w:lineRule="auto"/>
              <w:rPr>
                <w:rFonts w:cs="Arial"/>
              </w:rPr>
            </w:pPr>
            <w:r w:rsidRPr="002F4F6E">
              <w:rPr>
                <w:rFonts w:cs="Arial"/>
              </w:rPr>
              <w:t>permanently</w:t>
            </w:r>
          </w:p>
        </w:tc>
      </w:tr>
      <w:tr w:rsidR="002F4F6E" w:rsidRPr="002F4F6E" w:rsidTr="001866B9">
        <w:tc>
          <w:tcPr>
            <w:tcW w:w="2163" w:type="pct"/>
            <w:vAlign w:val="center"/>
            <w:hideMark/>
          </w:tcPr>
          <w:p w:rsidR="002F4F6E" w:rsidRPr="002F4F6E" w:rsidRDefault="002F4F6E" w:rsidP="002F4F6E">
            <w:pPr>
              <w:tabs>
                <w:tab w:val="num" w:pos="1031"/>
              </w:tabs>
              <w:spacing w:after="160" w:line="259" w:lineRule="auto"/>
              <w:rPr>
                <w:rFonts w:cs="Arial"/>
              </w:rPr>
            </w:pPr>
            <w:r w:rsidRPr="002F4F6E">
              <w:rPr>
                <w:rFonts w:cs="Arial"/>
              </w:rPr>
              <w:t>application forms and interview notes (for unsuccessful candidates)</w:t>
            </w:r>
          </w:p>
        </w:tc>
        <w:tc>
          <w:tcPr>
            <w:tcW w:w="2837" w:type="pct"/>
            <w:vAlign w:val="center"/>
            <w:hideMark/>
          </w:tcPr>
          <w:p w:rsidR="002F4F6E" w:rsidRPr="002F4F6E" w:rsidRDefault="002F4F6E" w:rsidP="002F4F6E">
            <w:pPr>
              <w:tabs>
                <w:tab w:val="num" w:pos="1031"/>
              </w:tabs>
              <w:spacing w:after="160" w:line="259" w:lineRule="auto"/>
              <w:rPr>
                <w:rFonts w:cs="Arial"/>
              </w:rPr>
            </w:pPr>
            <w:r w:rsidRPr="002F4F6E">
              <w:rPr>
                <w:rFonts w:cs="Arial"/>
              </w:rPr>
              <w:t>6 months to a year. (Because of the time limits in the various discrimination Acts, for example the Disability Discrimination Act 1995, minimum retention periods for records relating to advertising of vacancies and job applications should be at least 6 months. Successful job applicants</w:t>
            </w:r>
            <w:r w:rsidR="00E35A19">
              <w:rPr>
                <w:rFonts w:cs="Arial"/>
              </w:rPr>
              <w:t>’</w:t>
            </w:r>
            <w:r w:rsidRPr="002F4F6E">
              <w:rPr>
                <w:rFonts w:cs="Arial"/>
              </w:rPr>
              <w:t xml:space="preserve"> documents will be transferred to the personnel file in any event.)</w:t>
            </w:r>
          </w:p>
        </w:tc>
      </w:tr>
      <w:tr w:rsidR="002F4F6E" w:rsidRPr="002F4F6E" w:rsidTr="001866B9">
        <w:tc>
          <w:tcPr>
            <w:tcW w:w="2163" w:type="pct"/>
            <w:vAlign w:val="center"/>
            <w:hideMark/>
          </w:tcPr>
          <w:p w:rsidR="002F4F6E" w:rsidRPr="002F4F6E" w:rsidRDefault="002F4F6E" w:rsidP="002F4F6E">
            <w:pPr>
              <w:tabs>
                <w:tab w:val="num" w:pos="1031"/>
              </w:tabs>
              <w:spacing w:after="160" w:line="259" w:lineRule="auto"/>
              <w:rPr>
                <w:rFonts w:cs="Arial"/>
              </w:rPr>
            </w:pPr>
            <w:r w:rsidRPr="002F4F6E">
              <w:rPr>
                <w:rFonts w:cs="Arial"/>
              </w:rPr>
              <w:t>assessments under Health and Safety Regulations and records of consultations with safety representatives and committees</w:t>
            </w:r>
          </w:p>
        </w:tc>
        <w:tc>
          <w:tcPr>
            <w:tcW w:w="2837" w:type="pct"/>
            <w:vAlign w:val="center"/>
            <w:hideMark/>
          </w:tcPr>
          <w:p w:rsidR="002F4F6E" w:rsidRPr="002F4F6E" w:rsidRDefault="002F4F6E" w:rsidP="002F4F6E">
            <w:pPr>
              <w:tabs>
                <w:tab w:val="num" w:pos="1031"/>
              </w:tabs>
              <w:spacing w:after="160" w:line="259" w:lineRule="auto"/>
              <w:rPr>
                <w:rFonts w:cs="Arial"/>
              </w:rPr>
            </w:pPr>
            <w:r w:rsidRPr="002F4F6E">
              <w:rPr>
                <w:rFonts w:cs="Arial"/>
              </w:rPr>
              <w:t>permanently</w:t>
            </w:r>
          </w:p>
        </w:tc>
      </w:tr>
      <w:tr w:rsidR="002F4F6E" w:rsidRPr="002F4F6E" w:rsidTr="001866B9">
        <w:tc>
          <w:tcPr>
            <w:tcW w:w="2163" w:type="pct"/>
            <w:vAlign w:val="center"/>
            <w:hideMark/>
          </w:tcPr>
          <w:p w:rsidR="002F4F6E" w:rsidRPr="002F4F6E" w:rsidRDefault="002F4F6E" w:rsidP="002F4F6E">
            <w:pPr>
              <w:tabs>
                <w:tab w:val="num" w:pos="1031"/>
              </w:tabs>
              <w:spacing w:after="160" w:line="259" w:lineRule="auto"/>
              <w:rPr>
                <w:rFonts w:cs="Arial"/>
              </w:rPr>
            </w:pPr>
            <w:r w:rsidRPr="002F4F6E">
              <w:rPr>
                <w:rFonts w:cs="Arial"/>
              </w:rPr>
              <w:t>Inland Revenue approvals</w:t>
            </w:r>
          </w:p>
        </w:tc>
        <w:tc>
          <w:tcPr>
            <w:tcW w:w="2837" w:type="pct"/>
            <w:vAlign w:val="center"/>
            <w:hideMark/>
          </w:tcPr>
          <w:p w:rsidR="002F4F6E" w:rsidRPr="002F4F6E" w:rsidRDefault="002F4F6E" w:rsidP="002F4F6E">
            <w:pPr>
              <w:tabs>
                <w:tab w:val="num" w:pos="1031"/>
              </w:tabs>
              <w:spacing w:after="160" w:line="259" w:lineRule="auto"/>
              <w:rPr>
                <w:rFonts w:cs="Arial"/>
              </w:rPr>
            </w:pPr>
            <w:r w:rsidRPr="002F4F6E">
              <w:rPr>
                <w:rFonts w:cs="Arial"/>
              </w:rPr>
              <w:t>permanently</w:t>
            </w:r>
          </w:p>
        </w:tc>
      </w:tr>
      <w:tr w:rsidR="002F4F6E" w:rsidRPr="002F4F6E" w:rsidTr="001866B9">
        <w:tc>
          <w:tcPr>
            <w:tcW w:w="2163" w:type="pct"/>
            <w:vAlign w:val="center"/>
            <w:hideMark/>
          </w:tcPr>
          <w:p w:rsidR="002F4F6E" w:rsidRPr="002F4F6E" w:rsidRDefault="002F4F6E" w:rsidP="002F4F6E">
            <w:pPr>
              <w:tabs>
                <w:tab w:val="num" w:pos="1031"/>
              </w:tabs>
              <w:spacing w:after="160" w:line="259" w:lineRule="auto"/>
              <w:rPr>
                <w:rFonts w:cs="Arial"/>
              </w:rPr>
            </w:pPr>
            <w:r w:rsidRPr="002F4F6E">
              <w:rPr>
                <w:rFonts w:cs="Arial"/>
              </w:rPr>
              <w:t>money purchase details</w:t>
            </w:r>
          </w:p>
        </w:tc>
        <w:tc>
          <w:tcPr>
            <w:tcW w:w="2837" w:type="pct"/>
            <w:vAlign w:val="center"/>
            <w:hideMark/>
          </w:tcPr>
          <w:p w:rsidR="002F4F6E" w:rsidRPr="002F4F6E" w:rsidRDefault="002F4F6E" w:rsidP="002F4F6E">
            <w:pPr>
              <w:tabs>
                <w:tab w:val="num" w:pos="1031"/>
              </w:tabs>
              <w:spacing w:after="160" w:line="259" w:lineRule="auto"/>
              <w:rPr>
                <w:rFonts w:cs="Arial"/>
              </w:rPr>
            </w:pPr>
            <w:r w:rsidRPr="002F4F6E">
              <w:rPr>
                <w:rFonts w:cs="Arial"/>
              </w:rPr>
              <w:t>6 years after transfer or value taken</w:t>
            </w:r>
          </w:p>
        </w:tc>
      </w:tr>
      <w:tr w:rsidR="002F4F6E" w:rsidRPr="002F4F6E" w:rsidTr="001866B9">
        <w:tc>
          <w:tcPr>
            <w:tcW w:w="2163" w:type="pct"/>
            <w:vAlign w:val="center"/>
            <w:hideMark/>
          </w:tcPr>
          <w:p w:rsidR="002F4F6E" w:rsidRPr="002F4F6E" w:rsidRDefault="002F4F6E" w:rsidP="002F4F6E">
            <w:pPr>
              <w:tabs>
                <w:tab w:val="num" w:pos="1031"/>
              </w:tabs>
              <w:spacing w:after="160" w:line="259" w:lineRule="auto"/>
              <w:rPr>
                <w:rFonts w:cs="Arial"/>
              </w:rPr>
            </w:pPr>
            <w:r w:rsidRPr="002F4F6E">
              <w:rPr>
                <w:rFonts w:cs="Arial"/>
              </w:rPr>
              <w:t>parental leave</w:t>
            </w:r>
          </w:p>
        </w:tc>
        <w:tc>
          <w:tcPr>
            <w:tcW w:w="2837" w:type="pct"/>
            <w:vAlign w:val="center"/>
            <w:hideMark/>
          </w:tcPr>
          <w:p w:rsidR="002F4F6E" w:rsidRPr="002F4F6E" w:rsidRDefault="002F4F6E" w:rsidP="002F4F6E">
            <w:pPr>
              <w:tabs>
                <w:tab w:val="num" w:pos="1031"/>
              </w:tabs>
              <w:spacing w:after="160" w:line="259" w:lineRule="auto"/>
              <w:rPr>
                <w:rFonts w:cs="Arial"/>
              </w:rPr>
            </w:pPr>
            <w:r w:rsidRPr="002F4F6E">
              <w:rPr>
                <w:rFonts w:cs="Arial"/>
              </w:rPr>
              <w:t>5 years from birth/adoption of the child or 18 years if the child receives a disability allowance</w:t>
            </w:r>
          </w:p>
        </w:tc>
      </w:tr>
      <w:tr w:rsidR="002F4F6E" w:rsidRPr="002F4F6E" w:rsidTr="001866B9">
        <w:tc>
          <w:tcPr>
            <w:tcW w:w="2163" w:type="pct"/>
            <w:vAlign w:val="center"/>
            <w:hideMark/>
          </w:tcPr>
          <w:p w:rsidR="002F4F6E" w:rsidRPr="002F4F6E" w:rsidRDefault="002F4F6E" w:rsidP="002F4F6E">
            <w:pPr>
              <w:tabs>
                <w:tab w:val="num" w:pos="1031"/>
              </w:tabs>
              <w:spacing w:after="160" w:line="259" w:lineRule="auto"/>
              <w:rPr>
                <w:rFonts w:cs="Arial"/>
              </w:rPr>
            </w:pPr>
            <w:r w:rsidRPr="002F4F6E">
              <w:rPr>
                <w:rFonts w:cs="Arial"/>
              </w:rPr>
              <w:t>pension scheme investment policies</w:t>
            </w:r>
          </w:p>
        </w:tc>
        <w:tc>
          <w:tcPr>
            <w:tcW w:w="2837" w:type="pct"/>
            <w:vAlign w:val="center"/>
            <w:hideMark/>
          </w:tcPr>
          <w:p w:rsidR="002F4F6E" w:rsidRPr="002F4F6E" w:rsidRDefault="002F4F6E" w:rsidP="002F4F6E">
            <w:pPr>
              <w:tabs>
                <w:tab w:val="num" w:pos="1031"/>
              </w:tabs>
              <w:spacing w:after="160" w:line="259" w:lineRule="auto"/>
              <w:rPr>
                <w:rFonts w:cs="Arial"/>
              </w:rPr>
            </w:pPr>
            <w:r w:rsidRPr="002F4F6E">
              <w:rPr>
                <w:rFonts w:cs="Arial"/>
              </w:rPr>
              <w:t>12 years from the ending of any benefit payable under the policy</w:t>
            </w:r>
          </w:p>
        </w:tc>
      </w:tr>
      <w:tr w:rsidR="002F4F6E" w:rsidRPr="002F4F6E" w:rsidTr="001866B9">
        <w:tc>
          <w:tcPr>
            <w:tcW w:w="2163" w:type="pct"/>
            <w:vAlign w:val="center"/>
            <w:hideMark/>
          </w:tcPr>
          <w:p w:rsidR="002F4F6E" w:rsidRPr="002F4F6E" w:rsidRDefault="002F4F6E" w:rsidP="002F4F6E">
            <w:pPr>
              <w:tabs>
                <w:tab w:val="num" w:pos="1031"/>
              </w:tabs>
              <w:spacing w:after="160" w:line="259" w:lineRule="auto"/>
              <w:rPr>
                <w:rFonts w:cs="Arial"/>
              </w:rPr>
            </w:pPr>
            <w:r w:rsidRPr="002F4F6E">
              <w:rPr>
                <w:rFonts w:cs="Arial"/>
              </w:rPr>
              <w:t>pensioners’ records</w:t>
            </w:r>
          </w:p>
        </w:tc>
        <w:tc>
          <w:tcPr>
            <w:tcW w:w="2837" w:type="pct"/>
            <w:vAlign w:val="center"/>
            <w:hideMark/>
          </w:tcPr>
          <w:p w:rsidR="002F4F6E" w:rsidRPr="002F4F6E" w:rsidRDefault="002F4F6E" w:rsidP="002F4F6E">
            <w:pPr>
              <w:tabs>
                <w:tab w:val="num" w:pos="1031"/>
              </w:tabs>
              <w:spacing w:after="160" w:line="259" w:lineRule="auto"/>
              <w:rPr>
                <w:rFonts w:cs="Arial"/>
              </w:rPr>
            </w:pPr>
            <w:r w:rsidRPr="002F4F6E">
              <w:rPr>
                <w:rFonts w:cs="Arial"/>
              </w:rPr>
              <w:t>12 years after benefit ceases</w:t>
            </w:r>
          </w:p>
        </w:tc>
      </w:tr>
      <w:tr w:rsidR="002F4F6E" w:rsidRPr="002F4F6E" w:rsidTr="001866B9">
        <w:tc>
          <w:tcPr>
            <w:tcW w:w="2163" w:type="pct"/>
            <w:vAlign w:val="center"/>
            <w:hideMark/>
          </w:tcPr>
          <w:p w:rsidR="002F4F6E" w:rsidRPr="002F4F6E" w:rsidRDefault="002F4F6E" w:rsidP="002F4F6E">
            <w:pPr>
              <w:tabs>
                <w:tab w:val="num" w:pos="1031"/>
              </w:tabs>
              <w:spacing w:after="160" w:line="259" w:lineRule="auto"/>
              <w:rPr>
                <w:rFonts w:cs="Arial"/>
              </w:rPr>
            </w:pPr>
            <w:r w:rsidRPr="002F4F6E">
              <w:rPr>
                <w:rFonts w:cs="Arial"/>
              </w:rPr>
              <w:t>personnel files and training records (including disciplinary records and working time records)</w:t>
            </w:r>
          </w:p>
        </w:tc>
        <w:tc>
          <w:tcPr>
            <w:tcW w:w="2837" w:type="pct"/>
            <w:vAlign w:val="center"/>
            <w:hideMark/>
          </w:tcPr>
          <w:p w:rsidR="002F4F6E" w:rsidRPr="002F4F6E" w:rsidRDefault="002F4F6E" w:rsidP="002F4F6E">
            <w:pPr>
              <w:tabs>
                <w:tab w:val="num" w:pos="1031"/>
              </w:tabs>
              <w:spacing w:after="160" w:line="259" w:lineRule="auto"/>
              <w:rPr>
                <w:rFonts w:cs="Arial"/>
              </w:rPr>
            </w:pPr>
            <w:r w:rsidRPr="002F4F6E">
              <w:rPr>
                <w:rFonts w:cs="Arial"/>
              </w:rPr>
              <w:t>6 years after employment ceases</w:t>
            </w:r>
          </w:p>
        </w:tc>
      </w:tr>
      <w:tr w:rsidR="002F4F6E" w:rsidRPr="002F4F6E" w:rsidTr="001866B9">
        <w:tc>
          <w:tcPr>
            <w:tcW w:w="2163" w:type="pct"/>
            <w:vAlign w:val="center"/>
            <w:hideMark/>
          </w:tcPr>
          <w:p w:rsidR="002F4F6E" w:rsidRPr="002F4F6E" w:rsidRDefault="002F4F6E" w:rsidP="002F4F6E">
            <w:pPr>
              <w:tabs>
                <w:tab w:val="num" w:pos="1031"/>
              </w:tabs>
              <w:spacing w:after="160" w:line="259" w:lineRule="auto"/>
              <w:rPr>
                <w:rFonts w:cs="Arial"/>
              </w:rPr>
            </w:pPr>
            <w:r w:rsidRPr="002F4F6E">
              <w:rPr>
                <w:rFonts w:cs="Arial"/>
              </w:rPr>
              <w:t>redundancy details, calculations of payments, refunds, notification to the Secretary of State</w:t>
            </w:r>
          </w:p>
        </w:tc>
        <w:tc>
          <w:tcPr>
            <w:tcW w:w="2837" w:type="pct"/>
            <w:vAlign w:val="center"/>
            <w:hideMark/>
          </w:tcPr>
          <w:p w:rsidR="002F4F6E" w:rsidRPr="002F4F6E" w:rsidRDefault="002F4F6E" w:rsidP="002F4F6E">
            <w:pPr>
              <w:tabs>
                <w:tab w:val="num" w:pos="1031"/>
              </w:tabs>
              <w:spacing w:after="160" w:line="259" w:lineRule="auto"/>
              <w:rPr>
                <w:rFonts w:cs="Arial"/>
              </w:rPr>
            </w:pPr>
            <w:r w:rsidRPr="002F4F6E">
              <w:rPr>
                <w:rFonts w:cs="Arial"/>
              </w:rPr>
              <w:t>6 years from the date of redundancy</w:t>
            </w:r>
          </w:p>
        </w:tc>
      </w:tr>
      <w:tr w:rsidR="002F4F6E" w:rsidRPr="002F4F6E" w:rsidTr="001866B9">
        <w:tc>
          <w:tcPr>
            <w:tcW w:w="2163" w:type="pct"/>
            <w:vAlign w:val="center"/>
            <w:hideMark/>
          </w:tcPr>
          <w:p w:rsidR="002F4F6E" w:rsidRPr="002F4F6E" w:rsidRDefault="002F4F6E" w:rsidP="002F4F6E">
            <w:pPr>
              <w:tabs>
                <w:tab w:val="num" w:pos="1031"/>
              </w:tabs>
              <w:spacing w:after="160" w:line="259" w:lineRule="auto"/>
              <w:rPr>
                <w:rFonts w:cs="Arial"/>
              </w:rPr>
            </w:pPr>
            <w:r w:rsidRPr="002F4F6E">
              <w:rPr>
                <w:rFonts w:cs="Arial"/>
              </w:rPr>
              <w:lastRenderedPageBreak/>
              <w:t>senior executives’ records (that is, those on a senior management team or their equivalents)</w:t>
            </w:r>
          </w:p>
        </w:tc>
        <w:tc>
          <w:tcPr>
            <w:tcW w:w="2837" w:type="pct"/>
            <w:vAlign w:val="center"/>
            <w:hideMark/>
          </w:tcPr>
          <w:p w:rsidR="002F4F6E" w:rsidRPr="002F4F6E" w:rsidRDefault="002F4F6E" w:rsidP="002F4F6E">
            <w:pPr>
              <w:tabs>
                <w:tab w:val="num" w:pos="1031"/>
              </w:tabs>
              <w:spacing w:after="160" w:line="259" w:lineRule="auto"/>
              <w:rPr>
                <w:rFonts w:cs="Arial"/>
              </w:rPr>
            </w:pPr>
            <w:r w:rsidRPr="002F4F6E">
              <w:rPr>
                <w:rFonts w:cs="Arial"/>
              </w:rPr>
              <w:t>permanently for historical purposes</w:t>
            </w:r>
          </w:p>
        </w:tc>
      </w:tr>
      <w:tr w:rsidR="002F4F6E" w:rsidRPr="002F4F6E" w:rsidTr="001866B9">
        <w:tc>
          <w:tcPr>
            <w:tcW w:w="2163" w:type="pct"/>
            <w:vAlign w:val="center"/>
            <w:hideMark/>
          </w:tcPr>
          <w:p w:rsidR="002F4F6E" w:rsidRPr="002F4F6E" w:rsidRDefault="002F4F6E" w:rsidP="002F4F6E">
            <w:pPr>
              <w:tabs>
                <w:tab w:val="num" w:pos="1031"/>
              </w:tabs>
              <w:spacing w:after="160" w:line="259" w:lineRule="auto"/>
              <w:rPr>
                <w:rFonts w:cs="Arial"/>
              </w:rPr>
            </w:pPr>
            <w:r w:rsidRPr="002F4F6E">
              <w:rPr>
                <w:rFonts w:cs="Arial"/>
              </w:rPr>
              <w:t>time cards</w:t>
            </w:r>
          </w:p>
        </w:tc>
        <w:tc>
          <w:tcPr>
            <w:tcW w:w="2837" w:type="pct"/>
            <w:vAlign w:val="center"/>
            <w:hideMark/>
          </w:tcPr>
          <w:p w:rsidR="002F4F6E" w:rsidRPr="002F4F6E" w:rsidRDefault="002F4F6E" w:rsidP="002F4F6E">
            <w:pPr>
              <w:tabs>
                <w:tab w:val="num" w:pos="1031"/>
              </w:tabs>
              <w:spacing w:after="160" w:line="259" w:lineRule="auto"/>
              <w:rPr>
                <w:rFonts w:cs="Arial"/>
              </w:rPr>
            </w:pPr>
            <w:r w:rsidRPr="002F4F6E">
              <w:rPr>
                <w:rFonts w:cs="Arial"/>
              </w:rPr>
              <w:t>2 years after audit</w:t>
            </w:r>
          </w:p>
        </w:tc>
      </w:tr>
      <w:tr w:rsidR="002F4F6E" w:rsidRPr="002F4F6E" w:rsidTr="001866B9">
        <w:tc>
          <w:tcPr>
            <w:tcW w:w="2163" w:type="pct"/>
            <w:vAlign w:val="center"/>
            <w:hideMark/>
          </w:tcPr>
          <w:p w:rsidR="002F4F6E" w:rsidRPr="002F4F6E" w:rsidRDefault="002F4F6E" w:rsidP="002F4F6E">
            <w:pPr>
              <w:tabs>
                <w:tab w:val="num" w:pos="1031"/>
              </w:tabs>
              <w:spacing w:after="160" w:line="259" w:lineRule="auto"/>
              <w:rPr>
                <w:rFonts w:cs="Arial"/>
              </w:rPr>
            </w:pPr>
            <w:r w:rsidRPr="002F4F6E">
              <w:rPr>
                <w:rFonts w:cs="Arial"/>
              </w:rPr>
              <w:t>trade union agreements</w:t>
            </w:r>
          </w:p>
        </w:tc>
        <w:tc>
          <w:tcPr>
            <w:tcW w:w="2837" w:type="pct"/>
            <w:vAlign w:val="center"/>
            <w:hideMark/>
          </w:tcPr>
          <w:p w:rsidR="002F4F6E" w:rsidRPr="002F4F6E" w:rsidRDefault="002F4F6E" w:rsidP="002F4F6E">
            <w:pPr>
              <w:tabs>
                <w:tab w:val="num" w:pos="1031"/>
              </w:tabs>
              <w:spacing w:after="160" w:line="259" w:lineRule="auto"/>
              <w:rPr>
                <w:rFonts w:cs="Arial"/>
              </w:rPr>
            </w:pPr>
            <w:r w:rsidRPr="002F4F6E">
              <w:rPr>
                <w:rFonts w:cs="Arial"/>
              </w:rPr>
              <w:t>10 years after ceasing to be effective</w:t>
            </w:r>
          </w:p>
        </w:tc>
      </w:tr>
      <w:tr w:rsidR="002F4F6E" w:rsidRPr="002F4F6E" w:rsidTr="001866B9">
        <w:tc>
          <w:tcPr>
            <w:tcW w:w="2163" w:type="pct"/>
            <w:vAlign w:val="center"/>
            <w:hideMark/>
          </w:tcPr>
          <w:p w:rsidR="002F4F6E" w:rsidRPr="002F4F6E" w:rsidRDefault="002F4F6E" w:rsidP="002F4F6E">
            <w:pPr>
              <w:tabs>
                <w:tab w:val="num" w:pos="1031"/>
              </w:tabs>
              <w:spacing w:after="160" w:line="259" w:lineRule="auto"/>
              <w:rPr>
                <w:rFonts w:cs="Arial"/>
              </w:rPr>
            </w:pPr>
            <w:r w:rsidRPr="002F4F6E">
              <w:rPr>
                <w:rFonts w:cs="Arial"/>
              </w:rPr>
              <w:t>trust deeds and rules</w:t>
            </w:r>
          </w:p>
        </w:tc>
        <w:tc>
          <w:tcPr>
            <w:tcW w:w="2837" w:type="pct"/>
            <w:vAlign w:val="center"/>
            <w:hideMark/>
          </w:tcPr>
          <w:p w:rsidR="002F4F6E" w:rsidRPr="002F4F6E" w:rsidRDefault="002F4F6E" w:rsidP="002F4F6E">
            <w:pPr>
              <w:tabs>
                <w:tab w:val="num" w:pos="1031"/>
              </w:tabs>
              <w:spacing w:after="160" w:line="259" w:lineRule="auto"/>
              <w:rPr>
                <w:rFonts w:cs="Arial"/>
              </w:rPr>
            </w:pPr>
            <w:r w:rsidRPr="002F4F6E">
              <w:rPr>
                <w:rFonts w:cs="Arial"/>
              </w:rPr>
              <w:t>permanently</w:t>
            </w:r>
          </w:p>
        </w:tc>
      </w:tr>
      <w:tr w:rsidR="002F4F6E" w:rsidRPr="002F4F6E" w:rsidTr="001866B9">
        <w:tc>
          <w:tcPr>
            <w:tcW w:w="2163" w:type="pct"/>
            <w:vAlign w:val="center"/>
            <w:hideMark/>
          </w:tcPr>
          <w:p w:rsidR="002F4F6E" w:rsidRPr="002F4F6E" w:rsidRDefault="002F4F6E" w:rsidP="008E75CA">
            <w:pPr>
              <w:tabs>
                <w:tab w:val="num" w:pos="1031"/>
              </w:tabs>
              <w:spacing w:after="160" w:line="259" w:lineRule="auto"/>
              <w:rPr>
                <w:rFonts w:cs="Arial"/>
              </w:rPr>
            </w:pPr>
            <w:r w:rsidRPr="002F4F6E">
              <w:rPr>
                <w:rFonts w:cs="Arial"/>
              </w:rPr>
              <w:t>trustees’ minute</w:t>
            </w:r>
            <w:r w:rsidR="008E75CA">
              <w:rPr>
                <w:rFonts w:cs="Arial"/>
              </w:rPr>
              <w:t>s</w:t>
            </w:r>
            <w:r w:rsidRPr="002F4F6E">
              <w:rPr>
                <w:rFonts w:cs="Arial"/>
              </w:rPr>
              <w:t> </w:t>
            </w:r>
          </w:p>
        </w:tc>
        <w:tc>
          <w:tcPr>
            <w:tcW w:w="2837" w:type="pct"/>
            <w:vAlign w:val="center"/>
            <w:hideMark/>
          </w:tcPr>
          <w:p w:rsidR="002F4F6E" w:rsidRPr="002F4F6E" w:rsidRDefault="002F4F6E" w:rsidP="002F4F6E">
            <w:pPr>
              <w:tabs>
                <w:tab w:val="num" w:pos="1031"/>
              </w:tabs>
              <w:spacing w:after="160" w:line="259" w:lineRule="auto"/>
              <w:rPr>
                <w:rFonts w:cs="Arial"/>
              </w:rPr>
            </w:pPr>
            <w:r w:rsidRPr="002F4F6E">
              <w:rPr>
                <w:rFonts w:cs="Arial"/>
              </w:rPr>
              <w:t>permanently</w:t>
            </w:r>
          </w:p>
        </w:tc>
      </w:tr>
      <w:tr w:rsidR="002F4F6E" w:rsidRPr="002F4F6E" w:rsidTr="001866B9">
        <w:tc>
          <w:tcPr>
            <w:tcW w:w="2163" w:type="pct"/>
            <w:vAlign w:val="center"/>
            <w:hideMark/>
          </w:tcPr>
          <w:p w:rsidR="002F4F6E" w:rsidRPr="002F4F6E" w:rsidRDefault="002F4F6E" w:rsidP="002F4F6E">
            <w:pPr>
              <w:tabs>
                <w:tab w:val="num" w:pos="1031"/>
              </w:tabs>
              <w:spacing w:after="160" w:line="259" w:lineRule="auto"/>
              <w:rPr>
                <w:rFonts w:cs="Arial"/>
              </w:rPr>
            </w:pPr>
            <w:r w:rsidRPr="002F4F6E">
              <w:rPr>
                <w:rFonts w:cs="Arial"/>
              </w:rPr>
              <w:t>works council minutes</w:t>
            </w:r>
          </w:p>
        </w:tc>
        <w:tc>
          <w:tcPr>
            <w:tcW w:w="2837" w:type="pct"/>
            <w:vAlign w:val="center"/>
            <w:hideMark/>
          </w:tcPr>
          <w:p w:rsidR="002F4F6E" w:rsidRPr="002F4F6E" w:rsidRDefault="002F4F6E" w:rsidP="002F4F6E">
            <w:pPr>
              <w:tabs>
                <w:tab w:val="num" w:pos="1031"/>
              </w:tabs>
              <w:spacing w:after="160" w:line="259" w:lineRule="auto"/>
              <w:rPr>
                <w:rFonts w:cs="Arial"/>
              </w:rPr>
            </w:pPr>
            <w:r w:rsidRPr="002F4F6E">
              <w:rPr>
                <w:rFonts w:cs="Arial"/>
              </w:rPr>
              <w:t>permanently</w:t>
            </w:r>
          </w:p>
        </w:tc>
      </w:tr>
    </w:tbl>
    <w:p w:rsidR="002F4F6E" w:rsidRPr="002F4F6E" w:rsidRDefault="002F4F6E" w:rsidP="002F4F6E">
      <w:pPr>
        <w:tabs>
          <w:tab w:val="num" w:pos="1031"/>
        </w:tabs>
        <w:rPr>
          <w:rFonts w:cs="Arial"/>
          <w:b/>
        </w:rPr>
      </w:pPr>
    </w:p>
    <w:p w:rsidR="008E75CA" w:rsidRDefault="008E75CA">
      <w:pPr>
        <w:rPr>
          <w:rFonts w:ascii="Verdana" w:eastAsia="Times New Roman" w:hAnsi="Verdana" w:cs="Times New Roman"/>
          <w:b/>
          <w:szCs w:val="20"/>
        </w:rPr>
      </w:pPr>
      <w:r>
        <w:br w:type="page"/>
      </w:r>
    </w:p>
    <w:p w:rsidR="007770F4" w:rsidRDefault="004F4EFF" w:rsidP="004F4EFF">
      <w:pPr>
        <w:pStyle w:val="Heading2"/>
        <w:ind w:firstLine="0"/>
      </w:pPr>
      <w:bookmarkStart w:id="17" w:name="_Toc514421210"/>
      <w:r>
        <w:lastRenderedPageBreak/>
        <w:t>Appendix C</w:t>
      </w:r>
      <w:r w:rsidR="00B31DA9">
        <w:t xml:space="preserve">: </w:t>
      </w:r>
      <w:r w:rsidR="00B31DA9" w:rsidRPr="002F4F6E">
        <w:t>Data Retention Schedule</w:t>
      </w:r>
      <w:r w:rsidR="00B31DA9">
        <w:t xml:space="preserve">: </w:t>
      </w:r>
      <w:r w:rsidR="007770F4">
        <w:t>Dat</w:t>
      </w:r>
      <w:r w:rsidR="00B31DA9">
        <w:t xml:space="preserve">a Retention for Aston Students’ </w:t>
      </w:r>
      <w:r w:rsidR="007770F4">
        <w:t>Union Activity</w:t>
      </w:r>
      <w:bookmarkEnd w:id="17"/>
    </w:p>
    <w:tbl>
      <w:tblPr>
        <w:tblpPr w:leftFromText="180" w:rightFromText="180"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2268"/>
      </w:tblGrid>
      <w:tr w:rsidR="00D97395" w:rsidRPr="00224EF0" w:rsidTr="00D97395">
        <w:trPr>
          <w:trHeight w:val="112"/>
        </w:trPr>
        <w:tc>
          <w:tcPr>
            <w:tcW w:w="9072" w:type="dxa"/>
            <w:gridSpan w:val="4"/>
            <w:vAlign w:val="center"/>
          </w:tcPr>
          <w:p w:rsidR="00D97395" w:rsidRPr="00224EF0" w:rsidRDefault="00D97395" w:rsidP="00D97395">
            <w:pPr>
              <w:autoSpaceDE w:val="0"/>
              <w:autoSpaceDN w:val="0"/>
              <w:adjustRightInd w:val="0"/>
              <w:spacing w:after="0" w:line="240" w:lineRule="auto"/>
              <w:rPr>
                <w:rFonts w:cs="Arial"/>
                <w:color w:val="000000"/>
                <w:sz w:val="23"/>
                <w:szCs w:val="23"/>
              </w:rPr>
            </w:pPr>
            <w:r w:rsidRPr="00224EF0">
              <w:rPr>
                <w:rFonts w:cs="Arial"/>
                <w:b/>
                <w:bCs/>
                <w:color w:val="000000"/>
                <w:sz w:val="23"/>
                <w:szCs w:val="23"/>
              </w:rPr>
              <w:t xml:space="preserve">Retention periods for Personal Data </w:t>
            </w:r>
          </w:p>
        </w:tc>
      </w:tr>
      <w:tr w:rsidR="00D97395" w:rsidRPr="00E00CB8" w:rsidTr="00D97395">
        <w:trPr>
          <w:trHeight w:val="329"/>
        </w:trPr>
        <w:tc>
          <w:tcPr>
            <w:tcW w:w="2268" w:type="dxa"/>
            <w:vAlign w:val="center"/>
          </w:tcPr>
          <w:p w:rsidR="00D97395" w:rsidRPr="00E00CB8" w:rsidRDefault="00D97395" w:rsidP="00D97395">
            <w:pPr>
              <w:autoSpaceDE w:val="0"/>
              <w:autoSpaceDN w:val="0"/>
              <w:adjustRightInd w:val="0"/>
              <w:spacing w:after="0" w:line="240" w:lineRule="auto"/>
              <w:rPr>
                <w:rFonts w:cs="Arial"/>
                <w:color w:val="000000"/>
                <w:szCs w:val="20"/>
              </w:rPr>
            </w:pPr>
            <w:r w:rsidRPr="00E00CB8">
              <w:rPr>
                <w:rFonts w:cs="Arial"/>
                <w:b/>
                <w:bCs/>
                <w:color w:val="000000"/>
                <w:szCs w:val="20"/>
              </w:rPr>
              <w:t xml:space="preserve">Type of data </w:t>
            </w:r>
          </w:p>
        </w:tc>
        <w:tc>
          <w:tcPr>
            <w:tcW w:w="2268" w:type="dxa"/>
            <w:vAlign w:val="center"/>
          </w:tcPr>
          <w:p w:rsidR="00D97395" w:rsidRPr="00E00CB8" w:rsidRDefault="00D97395" w:rsidP="00D97395">
            <w:pPr>
              <w:autoSpaceDE w:val="0"/>
              <w:autoSpaceDN w:val="0"/>
              <w:adjustRightInd w:val="0"/>
              <w:spacing w:after="0" w:line="240" w:lineRule="auto"/>
              <w:rPr>
                <w:rFonts w:cs="Arial"/>
                <w:color w:val="000000"/>
                <w:szCs w:val="20"/>
              </w:rPr>
            </w:pPr>
            <w:r w:rsidRPr="00E00CB8">
              <w:rPr>
                <w:rFonts w:cs="Arial"/>
                <w:b/>
                <w:bCs/>
                <w:color w:val="000000"/>
                <w:szCs w:val="20"/>
              </w:rPr>
              <w:t xml:space="preserve">Retention period </w:t>
            </w:r>
          </w:p>
        </w:tc>
        <w:tc>
          <w:tcPr>
            <w:tcW w:w="2268" w:type="dxa"/>
            <w:vAlign w:val="center"/>
          </w:tcPr>
          <w:p w:rsidR="00D97395" w:rsidRPr="00E00CB8" w:rsidRDefault="00D97395" w:rsidP="00D97395">
            <w:pPr>
              <w:autoSpaceDE w:val="0"/>
              <w:autoSpaceDN w:val="0"/>
              <w:adjustRightInd w:val="0"/>
              <w:spacing w:after="0" w:line="240" w:lineRule="auto"/>
              <w:rPr>
                <w:rFonts w:cs="Arial"/>
                <w:color w:val="000000"/>
                <w:szCs w:val="20"/>
              </w:rPr>
            </w:pPr>
            <w:r w:rsidRPr="00E00CB8">
              <w:rPr>
                <w:rFonts w:cs="Arial"/>
                <w:b/>
                <w:bCs/>
                <w:color w:val="000000"/>
                <w:szCs w:val="20"/>
              </w:rPr>
              <w:t xml:space="preserve">Reason for retention period </w:t>
            </w:r>
          </w:p>
        </w:tc>
        <w:tc>
          <w:tcPr>
            <w:tcW w:w="2268" w:type="dxa"/>
            <w:vAlign w:val="center"/>
          </w:tcPr>
          <w:p w:rsidR="00D97395" w:rsidRPr="00E00CB8" w:rsidRDefault="00D97395" w:rsidP="00D97395">
            <w:pPr>
              <w:autoSpaceDE w:val="0"/>
              <w:autoSpaceDN w:val="0"/>
              <w:adjustRightInd w:val="0"/>
              <w:spacing w:after="0" w:line="240" w:lineRule="auto"/>
              <w:rPr>
                <w:rFonts w:cs="Arial"/>
                <w:color w:val="000000"/>
                <w:szCs w:val="20"/>
              </w:rPr>
            </w:pPr>
            <w:r w:rsidRPr="00E00CB8">
              <w:rPr>
                <w:rFonts w:cs="Arial"/>
                <w:b/>
                <w:bCs/>
                <w:color w:val="000000"/>
                <w:szCs w:val="20"/>
              </w:rPr>
              <w:t xml:space="preserve">Action to be taken following retention period </w:t>
            </w:r>
          </w:p>
        </w:tc>
      </w:tr>
      <w:tr w:rsidR="00D97395" w:rsidRPr="00E00CB8" w:rsidTr="00D97395">
        <w:trPr>
          <w:trHeight w:val="903"/>
        </w:trPr>
        <w:tc>
          <w:tcPr>
            <w:tcW w:w="2268" w:type="dxa"/>
            <w:vAlign w:val="center"/>
          </w:tcPr>
          <w:p w:rsidR="00D97395" w:rsidRPr="00E00CB8" w:rsidRDefault="00D97395" w:rsidP="00D97395">
            <w:pPr>
              <w:autoSpaceDE w:val="0"/>
              <w:autoSpaceDN w:val="0"/>
              <w:adjustRightInd w:val="0"/>
              <w:spacing w:after="0" w:line="240" w:lineRule="auto"/>
              <w:jc w:val="left"/>
              <w:rPr>
                <w:rFonts w:cs="Arial"/>
                <w:color w:val="000000"/>
                <w:szCs w:val="20"/>
              </w:rPr>
            </w:pPr>
            <w:r w:rsidRPr="00E00CB8">
              <w:rPr>
                <w:rFonts w:cs="Arial"/>
                <w:color w:val="000000"/>
                <w:szCs w:val="20"/>
              </w:rPr>
              <w:t xml:space="preserve">Membership information (e.g. Membership information, including society / sports / volunteers / course reps / </w:t>
            </w:r>
          </w:p>
        </w:tc>
        <w:tc>
          <w:tcPr>
            <w:tcW w:w="2268" w:type="dxa"/>
            <w:vAlign w:val="center"/>
          </w:tcPr>
          <w:p w:rsidR="00D97395" w:rsidRPr="00E00CB8" w:rsidRDefault="00D97395" w:rsidP="00D97395">
            <w:pPr>
              <w:autoSpaceDE w:val="0"/>
              <w:autoSpaceDN w:val="0"/>
              <w:adjustRightInd w:val="0"/>
              <w:spacing w:after="0" w:line="240" w:lineRule="auto"/>
              <w:jc w:val="left"/>
              <w:rPr>
                <w:rFonts w:cs="Arial"/>
                <w:color w:val="000000"/>
                <w:szCs w:val="20"/>
              </w:rPr>
            </w:pPr>
            <w:r w:rsidRPr="00E00CB8">
              <w:rPr>
                <w:rFonts w:cs="Arial"/>
                <w:color w:val="000000"/>
                <w:szCs w:val="20"/>
              </w:rPr>
              <w:t>Until one year after student</w:t>
            </w:r>
            <w:r w:rsidR="00E35A19">
              <w:rPr>
                <w:rFonts w:cs="Arial"/>
                <w:color w:val="000000"/>
                <w:szCs w:val="20"/>
              </w:rPr>
              <w:t>’</w:t>
            </w:r>
            <w:r w:rsidRPr="00E00CB8">
              <w:rPr>
                <w:rFonts w:cs="Arial"/>
                <w:color w:val="000000"/>
                <w:szCs w:val="20"/>
              </w:rPr>
              <w:t xml:space="preserve">s graduation </w:t>
            </w:r>
          </w:p>
        </w:tc>
        <w:tc>
          <w:tcPr>
            <w:tcW w:w="2268" w:type="dxa"/>
            <w:vAlign w:val="center"/>
          </w:tcPr>
          <w:p w:rsidR="00D97395" w:rsidRPr="00E00CB8" w:rsidRDefault="00D97395" w:rsidP="00D97395">
            <w:pPr>
              <w:autoSpaceDE w:val="0"/>
              <w:autoSpaceDN w:val="0"/>
              <w:adjustRightInd w:val="0"/>
              <w:spacing w:after="0" w:line="240" w:lineRule="auto"/>
              <w:jc w:val="left"/>
              <w:rPr>
                <w:rFonts w:cs="Arial"/>
                <w:color w:val="000000"/>
                <w:szCs w:val="20"/>
              </w:rPr>
            </w:pPr>
            <w:r w:rsidRPr="00E00CB8">
              <w:rPr>
                <w:rFonts w:cs="Arial"/>
                <w:color w:val="000000"/>
                <w:szCs w:val="20"/>
              </w:rPr>
              <w:t xml:space="preserve">Service provision </w:t>
            </w:r>
          </w:p>
        </w:tc>
        <w:tc>
          <w:tcPr>
            <w:tcW w:w="2268" w:type="dxa"/>
            <w:vAlign w:val="center"/>
          </w:tcPr>
          <w:p w:rsidR="00D97395" w:rsidRPr="00E00CB8" w:rsidRDefault="00D97395" w:rsidP="00D97395">
            <w:pPr>
              <w:autoSpaceDE w:val="0"/>
              <w:autoSpaceDN w:val="0"/>
              <w:adjustRightInd w:val="0"/>
              <w:spacing w:after="0" w:line="240" w:lineRule="auto"/>
              <w:jc w:val="left"/>
              <w:rPr>
                <w:rFonts w:cs="Arial"/>
                <w:color w:val="000000"/>
                <w:szCs w:val="20"/>
              </w:rPr>
            </w:pPr>
            <w:proofErr w:type="gramStart"/>
            <w:r w:rsidRPr="00E00CB8">
              <w:rPr>
                <w:rFonts w:cs="Arial"/>
                <w:color w:val="000000"/>
                <w:szCs w:val="20"/>
              </w:rPr>
              <w:t>Shred hard copy files,</w:t>
            </w:r>
            <w:proofErr w:type="gramEnd"/>
            <w:r w:rsidRPr="00E00CB8">
              <w:rPr>
                <w:rFonts w:cs="Arial"/>
                <w:color w:val="000000"/>
                <w:szCs w:val="20"/>
              </w:rPr>
              <w:t xml:space="preserve"> delete data files </w:t>
            </w:r>
          </w:p>
        </w:tc>
      </w:tr>
      <w:tr w:rsidR="00D97395" w:rsidRPr="00E00CB8" w:rsidTr="00D97395">
        <w:trPr>
          <w:trHeight w:val="765"/>
        </w:trPr>
        <w:tc>
          <w:tcPr>
            <w:tcW w:w="2268" w:type="dxa"/>
            <w:vAlign w:val="center"/>
          </w:tcPr>
          <w:p w:rsidR="00D97395" w:rsidRPr="00E00CB8" w:rsidRDefault="00D97395" w:rsidP="00D97395">
            <w:pPr>
              <w:autoSpaceDE w:val="0"/>
              <w:autoSpaceDN w:val="0"/>
              <w:adjustRightInd w:val="0"/>
              <w:spacing w:after="0" w:line="240" w:lineRule="auto"/>
              <w:jc w:val="left"/>
              <w:rPr>
                <w:rFonts w:cs="Arial"/>
                <w:color w:val="000000"/>
                <w:szCs w:val="20"/>
              </w:rPr>
            </w:pPr>
            <w:r w:rsidRPr="00E00CB8">
              <w:rPr>
                <w:rFonts w:cs="Arial"/>
                <w:color w:val="000000"/>
                <w:szCs w:val="20"/>
              </w:rPr>
              <w:t xml:space="preserve">Feedback and participation forms </w:t>
            </w:r>
          </w:p>
        </w:tc>
        <w:tc>
          <w:tcPr>
            <w:tcW w:w="2268" w:type="dxa"/>
            <w:vAlign w:val="center"/>
          </w:tcPr>
          <w:p w:rsidR="00D97395" w:rsidRPr="00E00CB8" w:rsidRDefault="00D97395" w:rsidP="00D97395">
            <w:pPr>
              <w:autoSpaceDE w:val="0"/>
              <w:autoSpaceDN w:val="0"/>
              <w:adjustRightInd w:val="0"/>
              <w:spacing w:after="0" w:line="240" w:lineRule="auto"/>
              <w:jc w:val="left"/>
              <w:rPr>
                <w:rFonts w:cs="Arial"/>
                <w:color w:val="000000"/>
                <w:szCs w:val="20"/>
              </w:rPr>
            </w:pPr>
            <w:r w:rsidRPr="00E00CB8">
              <w:rPr>
                <w:rFonts w:cs="Arial"/>
                <w:color w:val="000000"/>
                <w:szCs w:val="20"/>
              </w:rPr>
              <w:t xml:space="preserve">During membership only </w:t>
            </w:r>
          </w:p>
        </w:tc>
        <w:tc>
          <w:tcPr>
            <w:tcW w:w="2268" w:type="dxa"/>
            <w:vAlign w:val="center"/>
          </w:tcPr>
          <w:p w:rsidR="00D97395" w:rsidRPr="00E00CB8" w:rsidRDefault="00D97395" w:rsidP="00D97395">
            <w:pPr>
              <w:autoSpaceDE w:val="0"/>
              <w:autoSpaceDN w:val="0"/>
              <w:adjustRightInd w:val="0"/>
              <w:spacing w:after="0" w:line="240" w:lineRule="auto"/>
              <w:jc w:val="left"/>
              <w:rPr>
                <w:rFonts w:cs="Arial"/>
                <w:color w:val="000000"/>
                <w:szCs w:val="20"/>
              </w:rPr>
            </w:pPr>
            <w:r w:rsidRPr="00E00CB8">
              <w:rPr>
                <w:rFonts w:cs="Arial"/>
                <w:color w:val="000000"/>
                <w:szCs w:val="20"/>
              </w:rPr>
              <w:t xml:space="preserve">Benchmarking </w:t>
            </w:r>
          </w:p>
        </w:tc>
        <w:tc>
          <w:tcPr>
            <w:tcW w:w="2268" w:type="dxa"/>
            <w:vAlign w:val="center"/>
          </w:tcPr>
          <w:p w:rsidR="00D97395" w:rsidRPr="00E00CB8" w:rsidRDefault="00D97395" w:rsidP="00D97395">
            <w:pPr>
              <w:autoSpaceDE w:val="0"/>
              <w:autoSpaceDN w:val="0"/>
              <w:adjustRightInd w:val="0"/>
              <w:spacing w:after="0" w:line="240" w:lineRule="auto"/>
              <w:jc w:val="left"/>
              <w:rPr>
                <w:rFonts w:cs="Arial"/>
                <w:color w:val="000000"/>
                <w:szCs w:val="20"/>
              </w:rPr>
            </w:pPr>
            <w:r w:rsidRPr="00E00CB8">
              <w:rPr>
                <w:rFonts w:cs="Arial"/>
                <w:color w:val="000000"/>
                <w:szCs w:val="20"/>
              </w:rPr>
              <w:t xml:space="preserve">Data can be kept in an anonymised format </w:t>
            </w:r>
          </w:p>
        </w:tc>
      </w:tr>
      <w:tr w:rsidR="00D97395" w:rsidRPr="00E00CB8" w:rsidTr="00D97395">
        <w:trPr>
          <w:trHeight w:val="327"/>
        </w:trPr>
        <w:tc>
          <w:tcPr>
            <w:tcW w:w="2268" w:type="dxa"/>
            <w:vAlign w:val="center"/>
          </w:tcPr>
          <w:p w:rsidR="00D97395" w:rsidRPr="00E00CB8" w:rsidRDefault="00D97395" w:rsidP="00D97395">
            <w:pPr>
              <w:autoSpaceDE w:val="0"/>
              <w:autoSpaceDN w:val="0"/>
              <w:adjustRightInd w:val="0"/>
              <w:spacing w:after="0" w:line="240" w:lineRule="auto"/>
              <w:jc w:val="left"/>
              <w:rPr>
                <w:rFonts w:cs="Arial"/>
                <w:color w:val="000000"/>
                <w:szCs w:val="20"/>
              </w:rPr>
            </w:pPr>
            <w:r w:rsidRPr="00E00CB8">
              <w:rPr>
                <w:rFonts w:cs="Arial"/>
                <w:color w:val="000000"/>
                <w:szCs w:val="20"/>
              </w:rPr>
              <w:t xml:space="preserve">Transport forms (e.g. driver registration forms) </w:t>
            </w:r>
          </w:p>
        </w:tc>
        <w:tc>
          <w:tcPr>
            <w:tcW w:w="2268" w:type="dxa"/>
            <w:vAlign w:val="center"/>
          </w:tcPr>
          <w:p w:rsidR="00D97395" w:rsidRPr="00E00CB8" w:rsidRDefault="00D97395" w:rsidP="00D97395">
            <w:pPr>
              <w:autoSpaceDE w:val="0"/>
              <w:autoSpaceDN w:val="0"/>
              <w:adjustRightInd w:val="0"/>
              <w:spacing w:after="0" w:line="240" w:lineRule="auto"/>
              <w:jc w:val="left"/>
              <w:rPr>
                <w:rFonts w:cs="Arial"/>
                <w:color w:val="000000"/>
                <w:szCs w:val="20"/>
              </w:rPr>
            </w:pPr>
            <w:r w:rsidRPr="00E00CB8">
              <w:rPr>
                <w:rFonts w:cs="Arial"/>
                <w:color w:val="000000"/>
                <w:szCs w:val="20"/>
              </w:rPr>
              <w:t xml:space="preserve">During membership only </w:t>
            </w:r>
          </w:p>
        </w:tc>
        <w:tc>
          <w:tcPr>
            <w:tcW w:w="2268" w:type="dxa"/>
            <w:vAlign w:val="center"/>
          </w:tcPr>
          <w:p w:rsidR="00D97395" w:rsidRPr="00E00CB8" w:rsidRDefault="00D97395" w:rsidP="00D97395">
            <w:pPr>
              <w:autoSpaceDE w:val="0"/>
              <w:autoSpaceDN w:val="0"/>
              <w:adjustRightInd w:val="0"/>
              <w:spacing w:after="0" w:line="240" w:lineRule="auto"/>
              <w:jc w:val="left"/>
              <w:rPr>
                <w:rFonts w:cs="Arial"/>
                <w:color w:val="000000"/>
                <w:szCs w:val="20"/>
              </w:rPr>
            </w:pPr>
            <w:r w:rsidRPr="00E00CB8">
              <w:rPr>
                <w:rFonts w:cs="Arial"/>
                <w:color w:val="000000"/>
                <w:szCs w:val="20"/>
              </w:rPr>
              <w:t xml:space="preserve">Service provision and audit </w:t>
            </w:r>
          </w:p>
        </w:tc>
        <w:tc>
          <w:tcPr>
            <w:tcW w:w="2268" w:type="dxa"/>
            <w:vAlign w:val="center"/>
          </w:tcPr>
          <w:p w:rsidR="00D97395" w:rsidRPr="00E00CB8" w:rsidRDefault="00D97395" w:rsidP="00D97395">
            <w:pPr>
              <w:autoSpaceDE w:val="0"/>
              <w:autoSpaceDN w:val="0"/>
              <w:adjustRightInd w:val="0"/>
              <w:spacing w:after="0" w:line="240" w:lineRule="auto"/>
              <w:jc w:val="left"/>
              <w:rPr>
                <w:rFonts w:cs="Arial"/>
                <w:color w:val="000000"/>
                <w:szCs w:val="20"/>
              </w:rPr>
            </w:pPr>
            <w:proofErr w:type="gramStart"/>
            <w:r w:rsidRPr="00E00CB8">
              <w:rPr>
                <w:rFonts w:cs="Arial"/>
                <w:color w:val="000000"/>
                <w:szCs w:val="20"/>
              </w:rPr>
              <w:t>Shred hard copy files,</w:t>
            </w:r>
            <w:proofErr w:type="gramEnd"/>
            <w:r w:rsidRPr="00E00CB8">
              <w:rPr>
                <w:rFonts w:cs="Arial"/>
                <w:color w:val="000000"/>
                <w:szCs w:val="20"/>
              </w:rPr>
              <w:t xml:space="preserve"> delete data files </w:t>
            </w:r>
          </w:p>
        </w:tc>
      </w:tr>
      <w:tr w:rsidR="00D97395" w:rsidRPr="00E00CB8" w:rsidTr="00D97395">
        <w:trPr>
          <w:trHeight w:val="548"/>
        </w:trPr>
        <w:tc>
          <w:tcPr>
            <w:tcW w:w="2268" w:type="dxa"/>
            <w:vAlign w:val="center"/>
          </w:tcPr>
          <w:p w:rsidR="00D97395" w:rsidRPr="00E00CB8" w:rsidRDefault="00D97395" w:rsidP="00D97395">
            <w:pPr>
              <w:autoSpaceDE w:val="0"/>
              <w:autoSpaceDN w:val="0"/>
              <w:adjustRightInd w:val="0"/>
              <w:spacing w:after="0" w:line="240" w:lineRule="auto"/>
              <w:jc w:val="left"/>
              <w:rPr>
                <w:rFonts w:cs="Arial"/>
                <w:color w:val="000000"/>
                <w:szCs w:val="20"/>
              </w:rPr>
            </w:pPr>
            <w:r>
              <w:rPr>
                <w:rFonts w:cs="Arial"/>
                <w:color w:val="000000"/>
                <w:szCs w:val="20"/>
              </w:rPr>
              <w:t xml:space="preserve">Positions of </w:t>
            </w:r>
            <w:r w:rsidR="00E35A19">
              <w:rPr>
                <w:rFonts w:cs="Arial"/>
                <w:color w:val="000000"/>
                <w:szCs w:val="20"/>
              </w:rPr>
              <w:t>r</w:t>
            </w:r>
            <w:r>
              <w:rPr>
                <w:rFonts w:cs="Arial"/>
                <w:color w:val="000000"/>
                <w:szCs w:val="20"/>
              </w:rPr>
              <w:t>esponsibility held within the Union</w:t>
            </w:r>
          </w:p>
        </w:tc>
        <w:tc>
          <w:tcPr>
            <w:tcW w:w="2268" w:type="dxa"/>
            <w:vAlign w:val="center"/>
          </w:tcPr>
          <w:p w:rsidR="00D97395" w:rsidRDefault="00D97395" w:rsidP="00D97395">
            <w:pPr>
              <w:autoSpaceDE w:val="0"/>
              <w:autoSpaceDN w:val="0"/>
              <w:adjustRightInd w:val="0"/>
              <w:spacing w:after="0" w:line="240" w:lineRule="auto"/>
              <w:jc w:val="left"/>
              <w:rPr>
                <w:rFonts w:cs="Arial"/>
                <w:color w:val="000000"/>
                <w:szCs w:val="20"/>
              </w:rPr>
            </w:pPr>
            <w:r>
              <w:rPr>
                <w:rFonts w:cs="Arial"/>
                <w:color w:val="000000"/>
                <w:szCs w:val="20"/>
              </w:rPr>
              <w:t xml:space="preserve">Indefinite </w:t>
            </w:r>
          </w:p>
        </w:tc>
        <w:tc>
          <w:tcPr>
            <w:tcW w:w="2268" w:type="dxa"/>
            <w:vAlign w:val="center"/>
          </w:tcPr>
          <w:p w:rsidR="00D97395" w:rsidRPr="008E75CA" w:rsidRDefault="00D97395" w:rsidP="00D97395">
            <w:pPr>
              <w:autoSpaceDE w:val="0"/>
              <w:autoSpaceDN w:val="0"/>
              <w:adjustRightInd w:val="0"/>
              <w:spacing w:after="0" w:line="240" w:lineRule="auto"/>
              <w:jc w:val="left"/>
              <w:rPr>
                <w:rFonts w:cs="Arial"/>
                <w:color w:val="000000"/>
                <w:szCs w:val="20"/>
              </w:rPr>
            </w:pPr>
            <w:r>
              <w:rPr>
                <w:rFonts w:cs="Arial"/>
                <w:color w:val="000000"/>
                <w:szCs w:val="20"/>
              </w:rPr>
              <w:t>To keep accurate historical records of our engage</w:t>
            </w:r>
            <w:r w:rsidR="00E35A19">
              <w:rPr>
                <w:rFonts w:cs="Arial"/>
                <w:color w:val="000000"/>
                <w:szCs w:val="20"/>
              </w:rPr>
              <w:t>d</w:t>
            </w:r>
            <w:r w:rsidR="00994ABB">
              <w:rPr>
                <w:rFonts w:cs="Arial"/>
                <w:color w:val="000000"/>
                <w:szCs w:val="20"/>
              </w:rPr>
              <w:t xml:space="preserve"> </w:t>
            </w:r>
            <w:r>
              <w:rPr>
                <w:rFonts w:cs="Arial"/>
                <w:color w:val="000000"/>
                <w:szCs w:val="20"/>
              </w:rPr>
              <w:t>member</w:t>
            </w:r>
            <w:r w:rsidR="00E35A19">
              <w:rPr>
                <w:rFonts w:cs="Arial"/>
                <w:color w:val="000000"/>
                <w:szCs w:val="20"/>
              </w:rPr>
              <w:t>s</w:t>
            </w:r>
          </w:p>
        </w:tc>
        <w:tc>
          <w:tcPr>
            <w:tcW w:w="2268" w:type="dxa"/>
            <w:vAlign w:val="center"/>
          </w:tcPr>
          <w:p w:rsidR="00D97395" w:rsidRPr="00E00CB8" w:rsidRDefault="00D97395" w:rsidP="00D97395">
            <w:pPr>
              <w:autoSpaceDE w:val="0"/>
              <w:autoSpaceDN w:val="0"/>
              <w:adjustRightInd w:val="0"/>
              <w:spacing w:after="0" w:line="240" w:lineRule="auto"/>
              <w:jc w:val="left"/>
              <w:rPr>
                <w:rFonts w:cs="Arial"/>
                <w:color w:val="000000"/>
                <w:szCs w:val="20"/>
              </w:rPr>
            </w:pPr>
            <w:r>
              <w:rPr>
                <w:rFonts w:cs="Arial"/>
                <w:color w:val="000000"/>
                <w:szCs w:val="20"/>
              </w:rPr>
              <w:t>None.</w:t>
            </w:r>
          </w:p>
        </w:tc>
      </w:tr>
      <w:tr w:rsidR="00D97395" w:rsidRPr="00E00CB8" w:rsidTr="00D97395">
        <w:trPr>
          <w:trHeight w:val="548"/>
        </w:trPr>
        <w:tc>
          <w:tcPr>
            <w:tcW w:w="2268" w:type="dxa"/>
            <w:vAlign w:val="center"/>
          </w:tcPr>
          <w:p w:rsidR="00D97395" w:rsidRPr="00E00CB8" w:rsidRDefault="00D97395" w:rsidP="00D97395">
            <w:pPr>
              <w:autoSpaceDE w:val="0"/>
              <w:autoSpaceDN w:val="0"/>
              <w:adjustRightInd w:val="0"/>
              <w:spacing w:after="0" w:line="240" w:lineRule="auto"/>
              <w:jc w:val="left"/>
              <w:rPr>
                <w:rFonts w:cs="Arial"/>
                <w:color w:val="000000"/>
                <w:szCs w:val="20"/>
              </w:rPr>
            </w:pPr>
            <w:r w:rsidRPr="00E00CB8">
              <w:rPr>
                <w:rFonts w:cs="Arial"/>
                <w:color w:val="000000"/>
                <w:szCs w:val="20"/>
              </w:rPr>
              <w:t xml:space="preserve">Advice casework </w:t>
            </w:r>
          </w:p>
        </w:tc>
        <w:tc>
          <w:tcPr>
            <w:tcW w:w="2268" w:type="dxa"/>
            <w:vAlign w:val="center"/>
          </w:tcPr>
          <w:p w:rsidR="00D97395" w:rsidRPr="00E00CB8" w:rsidRDefault="00D97395" w:rsidP="00D97395">
            <w:pPr>
              <w:autoSpaceDE w:val="0"/>
              <w:autoSpaceDN w:val="0"/>
              <w:adjustRightInd w:val="0"/>
              <w:spacing w:after="0" w:line="240" w:lineRule="auto"/>
              <w:jc w:val="left"/>
              <w:rPr>
                <w:rFonts w:cs="Arial"/>
                <w:color w:val="000000"/>
                <w:szCs w:val="20"/>
              </w:rPr>
            </w:pPr>
            <w:r>
              <w:rPr>
                <w:rFonts w:cs="Arial"/>
                <w:color w:val="000000"/>
                <w:szCs w:val="20"/>
              </w:rPr>
              <w:t>Until seven</w:t>
            </w:r>
            <w:r w:rsidRPr="00E00CB8">
              <w:rPr>
                <w:rFonts w:cs="Arial"/>
                <w:color w:val="000000"/>
                <w:szCs w:val="20"/>
              </w:rPr>
              <w:t xml:space="preserve"> years </w:t>
            </w:r>
            <w:r>
              <w:rPr>
                <w:rFonts w:cs="Arial"/>
                <w:color w:val="000000"/>
                <w:szCs w:val="20"/>
              </w:rPr>
              <w:t xml:space="preserve">after a </w:t>
            </w:r>
            <w:proofErr w:type="gramStart"/>
            <w:r>
              <w:rPr>
                <w:rFonts w:cs="Arial"/>
                <w:color w:val="000000"/>
                <w:szCs w:val="20"/>
              </w:rPr>
              <w:t>particular case</w:t>
            </w:r>
            <w:proofErr w:type="gramEnd"/>
            <w:r>
              <w:rPr>
                <w:rFonts w:cs="Arial"/>
                <w:color w:val="000000"/>
                <w:szCs w:val="20"/>
              </w:rPr>
              <w:t xml:space="preserve"> has closed </w:t>
            </w:r>
            <w:r w:rsidRPr="00E00CB8">
              <w:rPr>
                <w:rFonts w:cs="Arial"/>
                <w:color w:val="000000"/>
                <w:szCs w:val="20"/>
              </w:rPr>
              <w:t xml:space="preserve">  </w:t>
            </w:r>
          </w:p>
        </w:tc>
        <w:tc>
          <w:tcPr>
            <w:tcW w:w="2268" w:type="dxa"/>
            <w:vAlign w:val="center"/>
          </w:tcPr>
          <w:p w:rsidR="00D97395" w:rsidRPr="00E00CB8" w:rsidRDefault="00D97395" w:rsidP="00D97395">
            <w:pPr>
              <w:autoSpaceDE w:val="0"/>
              <w:autoSpaceDN w:val="0"/>
              <w:adjustRightInd w:val="0"/>
              <w:spacing w:after="0" w:line="240" w:lineRule="auto"/>
              <w:jc w:val="left"/>
              <w:rPr>
                <w:rFonts w:cs="Arial"/>
                <w:color w:val="000000"/>
                <w:szCs w:val="20"/>
                <w:highlight w:val="yellow"/>
              </w:rPr>
            </w:pPr>
            <w:r w:rsidRPr="008E75CA">
              <w:rPr>
                <w:rFonts w:cs="Arial"/>
                <w:color w:val="000000"/>
                <w:szCs w:val="20"/>
              </w:rPr>
              <w:t>Advice UK advice. Organisations</w:t>
            </w:r>
            <w:r w:rsidR="00E35A19">
              <w:rPr>
                <w:rFonts w:cs="Arial"/>
                <w:color w:val="000000"/>
                <w:szCs w:val="20"/>
              </w:rPr>
              <w:t xml:space="preserve"> </w:t>
            </w:r>
            <w:proofErr w:type="gramStart"/>
            <w:r w:rsidR="00E35A19">
              <w:rPr>
                <w:rFonts w:cs="Arial"/>
                <w:color w:val="000000"/>
                <w:szCs w:val="20"/>
              </w:rPr>
              <w:t>can</w:t>
            </w:r>
            <w:r w:rsidRPr="008E75CA">
              <w:rPr>
                <w:rFonts w:cs="Arial"/>
                <w:color w:val="000000"/>
                <w:szCs w:val="20"/>
              </w:rPr>
              <w:t xml:space="preserve">  s</w:t>
            </w:r>
            <w:bookmarkStart w:id="18" w:name="_GoBack"/>
            <w:bookmarkEnd w:id="18"/>
            <w:r w:rsidRPr="008E75CA">
              <w:rPr>
                <w:rFonts w:cs="Arial"/>
                <w:color w:val="000000"/>
                <w:szCs w:val="20"/>
              </w:rPr>
              <w:t>till</w:t>
            </w:r>
            <w:proofErr w:type="gramEnd"/>
            <w:r w:rsidRPr="008E75CA">
              <w:rPr>
                <w:rFonts w:cs="Arial"/>
                <w:color w:val="000000"/>
                <w:szCs w:val="20"/>
              </w:rPr>
              <w:t xml:space="preserve"> be sued for negligence for up to 6 years after a case has closed </w:t>
            </w:r>
          </w:p>
        </w:tc>
        <w:tc>
          <w:tcPr>
            <w:tcW w:w="2268" w:type="dxa"/>
            <w:vAlign w:val="center"/>
          </w:tcPr>
          <w:p w:rsidR="00D97395" w:rsidRPr="00E00CB8" w:rsidRDefault="00D97395" w:rsidP="00D97395">
            <w:pPr>
              <w:autoSpaceDE w:val="0"/>
              <w:autoSpaceDN w:val="0"/>
              <w:adjustRightInd w:val="0"/>
              <w:spacing w:after="0" w:line="240" w:lineRule="auto"/>
              <w:jc w:val="left"/>
              <w:rPr>
                <w:rFonts w:cs="Arial"/>
                <w:color w:val="000000"/>
                <w:szCs w:val="20"/>
              </w:rPr>
            </w:pPr>
            <w:proofErr w:type="gramStart"/>
            <w:r w:rsidRPr="00E00CB8">
              <w:rPr>
                <w:rFonts w:cs="Arial"/>
                <w:color w:val="000000"/>
                <w:szCs w:val="20"/>
              </w:rPr>
              <w:t>Shred hard copy files,</w:t>
            </w:r>
            <w:proofErr w:type="gramEnd"/>
            <w:r w:rsidRPr="00E00CB8">
              <w:rPr>
                <w:rFonts w:cs="Arial"/>
                <w:color w:val="000000"/>
                <w:szCs w:val="20"/>
              </w:rPr>
              <w:t xml:space="preserve"> delete data files</w:t>
            </w:r>
          </w:p>
        </w:tc>
      </w:tr>
    </w:tbl>
    <w:p w:rsidR="007770F4" w:rsidRDefault="007770F4" w:rsidP="00EE0C08">
      <w:pPr>
        <w:tabs>
          <w:tab w:val="num" w:pos="1031"/>
        </w:tabs>
        <w:rPr>
          <w:rFonts w:cs="Arial"/>
          <w:b/>
        </w:rPr>
      </w:pPr>
    </w:p>
    <w:p w:rsidR="00B31DA9" w:rsidRDefault="00B31DA9" w:rsidP="00EE0C08">
      <w:pPr>
        <w:tabs>
          <w:tab w:val="num" w:pos="1031"/>
        </w:tabs>
        <w:rPr>
          <w:rFonts w:cs="Arial"/>
          <w:b/>
        </w:rPr>
      </w:pPr>
    </w:p>
    <w:p w:rsidR="00B31DA9" w:rsidRDefault="00B31DA9">
      <w:pPr>
        <w:rPr>
          <w:rFonts w:cs="Arial"/>
          <w:b/>
        </w:rPr>
      </w:pPr>
      <w:r>
        <w:rPr>
          <w:rFonts w:cs="Arial"/>
          <w:b/>
        </w:rPr>
        <w:br w:type="page"/>
      </w:r>
    </w:p>
    <w:p w:rsidR="00EE0C08" w:rsidRDefault="001906C1" w:rsidP="004F4EFF">
      <w:pPr>
        <w:pStyle w:val="Heading2"/>
      </w:pPr>
      <w:bookmarkStart w:id="19" w:name="_Toc514421211"/>
      <w:r>
        <w:lastRenderedPageBreak/>
        <w:t>Appendix D</w:t>
      </w:r>
      <w:r w:rsidR="00517951">
        <w:t xml:space="preserve">: Guidelines for staff including </w:t>
      </w:r>
      <w:r w:rsidR="00EE0C08" w:rsidRPr="00EE0C08">
        <w:t>Sta</w:t>
      </w:r>
      <w:r w:rsidR="00517951">
        <w:t>ff Checklist for Recording Data</w:t>
      </w:r>
      <w:bookmarkEnd w:id="19"/>
    </w:p>
    <w:p w:rsidR="00517951" w:rsidRPr="00517951" w:rsidRDefault="00517951" w:rsidP="00517951">
      <w:pPr>
        <w:tabs>
          <w:tab w:val="num" w:pos="1031"/>
        </w:tabs>
        <w:rPr>
          <w:rFonts w:cs="Arial"/>
          <w:b/>
        </w:rPr>
      </w:pPr>
      <w:r w:rsidRPr="00517951">
        <w:rPr>
          <w:rFonts w:cs="Arial"/>
        </w:rPr>
        <w:t xml:space="preserve">Members of staff </w:t>
      </w:r>
      <w:r w:rsidR="001906C1">
        <w:rPr>
          <w:rFonts w:cs="Arial"/>
        </w:rPr>
        <w:t xml:space="preserve">and officers </w:t>
      </w:r>
      <w:r w:rsidRPr="00517951">
        <w:rPr>
          <w:rFonts w:cs="Arial"/>
        </w:rPr>
        <w:t>will process pe</w:t>
      </w:r>
      <w:r>
        <w:rPr>
          <w:rFonts w:cs="Arial"/>
        </w:rPr>
        <w:t xml:space="preserve">rsonal data on a regular basis. </w:t>
      </w:r>
      <w:r w:rsidRPr="00517951">
        <w:rPr>
          <w:rFonts w:cs="Arial"/>
        </w:rPr>
        <w:t>The University</w:t>
      </w:r>
      <w:r>
        <w:rPr>
          <w:rFonts w:cs="Arial"/>
        </w:rPr>
        <w:t xml:space="preserve"> and </w:t>
      </w:r>
      <w:r w:rsidR="000B1A3E">
        <w:rPr>
          <w:rFonts w:cs="Arial"/>
        </w:rPr>
        <w:t>ASU</w:t>
      </w:r>
      <w:r w:rsidRPr="00517951">
        <w:rPr>
          <w:rFonts w:cs="Arial"/>
        </w:rPr>
        <w:t xml:space="preserve"> will ensure that staff and students gi</w:t>
      </w:r>
      <w:r w:rsidR="007770F4">
        <w:rPr>
          <w:rFonts w:cs="Arial"/>
        </w:rPr>
        <w:t>ve their consent to processing.</w:t>
      </w:r>
    </w:p>
    <w:p w:rsidR="00517951" w:rsidRPr="00517951" w:rsidRDefault="00517951" w:rsidP="00517951">
      <w:pPr>
        <w:tabs>
          <w:tab w:val="num" w:pos="1031"/>
        </w:tabs>
        <w:rPr>
          <w:rFonts w:cs="Arial"/>
        </w:rPr>
      </w:pPr>
      <w:r w:rsidRPr="00517951">
        <w:rPr>
          <w:rFonts w:cs="Arial"/>
        </w:rPr>
        <w:t xml:space="preserve">Information about an individual's physical or mental health; sexual life; political or religious views; trade union membership; ethnicity or race; the commission of criminal offences and court proceedings dealing with criminal offences is sensitive and can normally only be collected and processed with their express consent. </w:t>
      </w:r>
    </w:p>
    <w:p w:rsidR="00517951" w:rsidRDefault="00517951" w:rsidP="00517951">
      <w:pPr>
        <w:tabs>
          <w:tab w:val="num" w:pos="1031"/>
        </w:tabs>
        <w:rPr>
          <w:rFonts w:cs="Arial"/>
        </w:rPr>
      </w:pPr>
      <w:r w:rsidRPr="00517951">
        <w:rPr>
          <w:rFonts w:cs="Arial"/>
        </w:rPr>
        <w:t>Members of staff have a duty to make sure that they comply with the data protection principles, whi</w:t>
      </w:r>
      <w:r>
        <w:rPr>
          <w:rFonts w:cs="Arial"/>
        </w:rPr>
        <w:t xml:space="preserve">ch are set out in the </w:t>
      </w:r>
      <w:r w:rsidR="000B1A3E">
        <w:rPr>
          <w:rFonts w:cs="Arial"/>
        </w:rPr>
        <w:t>ASU</w:t>
      </w:r>
      <w:r w:rsidRPr="00517951">
        <w:rPr>
          <w:rFonts w:cs="Arial"/>
        </w:rPr>
        <w:t xml:space="preserve"> Data Protection Policy. </w:t>
      </w:r>
      <w:proofErr w:type="gramStart"/>
      <w:r w:rsidRPr="00517951">
        <w:rPr>
          <w:rFonts w:cs="Arial"/>
        </w:rPr>
        <w:t>In particular, staf</w:t>
      </w:r>
      <w:r>
        <w:rPr>
          <w:rFonts w:cs="Arial"/>
        </w:rPr>
        <w:t>f</w:t>
      </w:r>
      <w:proofErr w:type="gramEnd"/>
      <w:r>
        <w:rPr>
          <w:rFonts w:cs="Arial"/>
        </w:rPr>
        <w:t xml:space="preserve"> must ensure that records are:</w:t>
      </w:r>
    </w:p>
    <w:p w:rsidR="00517951" w:rsidRPr="00517951" w:rsidRDefault="00517951" w:rsidP="00517951">
      <w:pPr>
        <w:pStyle w:val="ListParagraph"/>
        <w:numPr>
          <w:ilvl w:val="0"/>
          <w:numId w:val="17"/>
        </w:numPr>
        <w:tabs>
          <w:tab w:val="num" w:pos="1031"/>
        </w:tabs>
        <w:rPr>
          <w:rFonts w:cs="Arial"/>
        </w:rPr>
      </w:pPr>
      <w:r w:rsidRPr="00517951">
        <w:rPr>
          <w:rFonts w:cs="Arial"/>
        </w:rPr>
        <w:t>accurate;</w:t>
      </w:r>
    </w:p>
    <w:p w:rsidR="00517951" w:rsidRPr="00517951" w:rsidRDefault="00517951" w:rsidP="00517951">
      <w:pPr>
        <w:pStyle w:val="ListParagraph"/>
        <w:numPr>
          <w:ilvl w:val="0"/>
          <w:numId w:val="17"/>
        </w:numPr>
        <w:tabs>
          <w:tab w:val="num" w:pos="1031"/>
        </w:tabs>
        <w:rPr>
          <w:rFonts w:cs="Arial"/>
        </w:rPr>
      </w:pPr>
      <w:r w:rsidRPr="00517951">
        <w:rPr>
          <w:rFonts w:cs="Arial"/>
        </w:rPr>
        <w:t>up-to-date;</w:t>
      </w:r>
    </w:p>
    <w:p w:rsidR="00517951" w:rsidRPr="00517951" w:rsidRDefault="00517951" w:rsidP="00517951">
      <w:pPr>
        <w:pStyle w:val="ListParagraph"/>
        <w:numPr>
          <w:ilvl w:val="0"/>
          <w:numId w:val="17"/>
        </w:numPr>
        <w:tabs>
          <w:tab w:val="num" w:pos="1031"/>
        </w:tabs>
        <w:rPr>
          <w:rFonts w:cs="Arial"/>
        </w:rPr>
      </w:pPr>
      <w:r w:rsidRPr="00517951">
        <w:rPr>
          <w:rFonts w:cs="Arial"/>
        </w:rPr>
        <w:t>fair;</w:t>
      </w:r>
    </w:p>
    <w:p w:rsidR="00517951" w:rsidRPr="00517951" w:rsidRDefault="00517951" w:rsidP="00517951">
      <w:pPr>
        <w:pStyle w:val="ListParagraph"/>
        <w:numPr>
          <w:ilvl w:val="0"/>
          <w:numId w:val="17"/>
        </w:numPr>
        <w:tabs>
          <w:tab w:val="num" w:pos="1031"/>
        </w:tabs>
        <w:rPr>
          <w:rFonts w:cs="Arial"/>
        </w:rPr>
      </w:pPr>
      <w:r w:rsidRPr="00517951">
        <w:rPr>
          <w:rFonts w:cs="Arial"/>
        </w:rPr>
        <w:t xml:space="preserve">kept and disposed of safely, and in accordance with </w:t>
      </w:r>
      <w:r w:rsidR="000B1A3E">
        <w:rPr>
          <w:rFonts w:cs="Arial"/>
        </w:rPr>
        <w:t>ASU</w:t>
      </w:r>
      <w:r w:rsidRPr="00517951">
        <w:rPr>
          <w:rFonts w:cs="Arial"/>
        </w:rPr>
        <w:t xml:space="preserve"> policy.</w:t>
      </w:r>
    </w:p>
    <w:p w:rsidR="00517951" w:rsidRPr="00517951" w:rsidRDefault="00517951" w:rsidP="00517951">
      <w:pPr>
        <w:tabs>
          <w:tab w:val="num" w:pos="1031"/>
        </w:tabs>
        <w:rPr>
          <w:rFonts w:cs="Arial"/>
        </w:rPr>
      </w:pPr>
      <w:r w:rsidRPr="00517951">
        <w:rPr>
          <w:rFonts w:cs="Arial"/>
        </w:rPr>
        <w:t xml:space="preserve">Individual members of staff are responsible for ensuring that all data they are holding is kept securely. </w:t>
      </w:r>
    </w:p>
    <w:p w:rsidR="00517951" w:rsidRPr="00517951" w:rsidRDefault="00517951" w:rsidP="00517951">
      <w:pPr>
        <w:tabs>
          <w:tab w:val="num" w:pos="1031"/>
        </w:tabs>
        <w:rPr>
          <w:rFonts w:cs="Arial"/>
        </w:rPr>
      </w:pPr>
      <w:r w:rsidRPr="00517951">
        <w:rPr>
          <w:rFonts w:cs="Arial"/>
        </w:rPr>
        <w:t xml:space="preserve">Members of staff must not disclose personal </w:t>
      </w:r>
      <w:r>
        <w:rPr>
          <w:rFonts w:cs="Arial"/>
        </w:rPr>
        <w:t>data, unless for normal democratic, membership or administrative</w:t>
      </w:r>
      <w:r w:rsidRPr="00517951">
        <w:rPr>
          <w:rFonts w:cs="Arial"/>
        </w:rPr>
        <w:t xml:space="preserve"> purposes, without authorisation or agreement from the Data Protection Officer</w:t>
      </w:r>
      <w:r>
        <w:rPr>
          <w:rFonts w:cs="Arial"/>
        </w:rPr>
        <w:t xml:space="preserve">, or in line with </w:t>
      </w:r>
      <w:r w:rsidR="000B1A3E">
        <w:rPr>
          <w:rFonts w:cs="Arial"/>
        </w:rPr>
        <w:t>ASU</w:t>
      </w:r>
      <w:r w:rsidRPr="00517951">
        <w:rPr>
          <w:rFonts w:cs="Arial"/>
        </w:rPr>
        <w:t xml:space="preserve"> policy. </w:t>
      </w:r>
    </w:p>
    <w:p w:rsidR="00517951" w:rsidRPr="00517951" w:rsidRDefault="00517951" w:rsidP="00517951">
      <w:pPr>
        <w:tabs>
          <w:tab w:val="num" w:pos="1031"/>
        </w:tabs>
        <w:rPr>
          <w:rFonts w:cs="Arial"/>
        </w:rPr>
      </w:pPr>
      <w:r w:rsidRPr="00517951">
        <w:rPr>
          <w:rFonts w:cs="Arial"/>
        </w:rPr>
        <w:t xml:space="preserve">Before processing any personal data, all staff should consider the checklist. </w:t>
      </w:r>
    </w:p>
    <w:p w:rsidR="00517951" w:rsidRPr="00517951" w:rsidRDefault="00517951" w:rsidP="00517951">
      <w:pPr>
        <w:tabs>
          <w:tab w:val="num" w:pos="1031"/>
        </w:tabs>
        <w:rPr>
          <w:rFonts w:cs="Arial"/>
        </w:rPr>
      </w:pPr>
      <w:r w:rsidRPr="00517951">
        <w:rPr>
          <w:rFonts w:cs="Arial"/>
        </w:rPr>
        <w:t xml:space="preserve">All staff should complete online data protection training through </w:t>
      </w:r>
      <w:r w:rsidR="007770F4">
        <w:rPr>
          <w:rFonts w:cs="Arial"/>
        </w:rPr>
        <w:t xml:space="preserve">Aston </w:t>
      </w:r>
      <w:r w:rsidR="00F054D6">
        <w:rPr>
          <w:rFonts w:cs="Arial"/>
        </w:rPr>
        <w:t xml:space="preserve">University </w:t>
      </w:r>
      <w:r w:rsidR="001906C1">
        <w:rPr>
          <w:rFonts w:cs="Arial"/>
        </w:rPr>
        <w:t xml:space="preserve">(VLE). </w:t>
      </w:r>
    </w:p>
    <w:p w:rsidR="00F054D6" w:rsidRPr="008D1558" w:rsidRDefault="00517951" w:rsidP="00517951">
      <w:pPr>
        <w:tabs>
          <w:tab w:val="num" w:pos="1031"/>
        </w:tabs>
        <w:rPr>
          <w:rFonts w:cs="Arial"/>
          <w:b/>
          <w:bCs/>
        </w:rPr>
      </w:pPr>
      <w:r w:rsidRPr="008D1558">
        <w:rPr>
          <w:rFonts w:cs="Arial"/>
          <w:b/>
          <w:bCs/>
        </w:rPr>
        <w:t>Sta</w:t>
      </w:r>
      <w:r w:rsidR="00F054D6" w:rsidRPr="008D1558">
        <w:rPr>
          <w:rFonts w:cs="Arial"/>
          <w:b/>
          <w:bCs/>
        </w:rPr>
        <w:t>ff Checklist for Recording Data</w:t>
      </w:r>
    </w:p>
    <w:p w:rsidR="00F054D6" w:rsidRPr="007770F4" w:rsidRDefault="00517951" w:rsidP="007770F4">
      <w:pPr>
        <w:pStyle w:val="ListParagraph"/>
        <w:numPr>
          <w:ilvl w:val="0"/>
          <w:numId w:val="21"/>
        </w:numPr>
        <w:tabs>
          <w:tab w:val="num" w:pos="1031"/>
        </w:tabs>
        <w:rPr>
          <w:rFonts w:cs="Arial"/>
        </w:rPr>
      </w:pPr>
      <w:r w:rsidRPr="007770F4">
        <w:rPr>
          <w:rFonts w:cs="Arial"/>
        </w:rPr>
        <w:t>Do you really need to record the information</w:t>
      </w:r>
      <w:r w:rsidR="00F054D6" w:rsidRPr="007770F4">
        <w:rPr>
          <w:rFonts w:cs="Arial"/>
        </w:rPr>
        <w:t>?</w:t>
      </w:r>
    </w:p>
    <w:p w:rsidR="00F054D6" w:rsidRDefault="00517951" w:rsidP="007770F4">
      <w:pPr>
        <w:pStyle w:val="ListParagraph"/>
        <w:numPr>
          <w:ilvl w:val="0"/>
          <w:numId w:val="21"/>
        </w:numPr>
        <w:tabs>
          <w:tab w:val="num" w:pos="1031"/>
        </w:tabs>
        <w:rPr>
          <w:rFonts w:cs="Arial"/>
        </w:rPr>
      </w:pPr>
      <w:r w:rsidRPr="007770F4">
        <w:rPr>
          <w:rFonts w:cs="Arial"/>
        </w:rPr>
        <w:t>Is the information '</w:t>
      </w:r>
      <w:r w:rsidR="00F054D6" w:rsidRPr="007770F4">
        <w:rPr>
          <w:rFonts w:cs="Arial"/>
        </w:rPr>
        <w:t>standard' or is it 'sensitive'?</w:t>
      </w:r>
    </w:p>
    <w:p w:rsidR="00E3757D" w:rsidRPr="007770F4" w:rsidRDefault="00E3757D" w:rsidP="007770F4">
      <w:pPr>
        <w:pStyle w:val="ListParagraph"/>
        <w:numPr>
          <w:ilvl w:val="0"/>
          <w:numId w:val="21"/>
        </w:numPr>
        <w:tabs>
          <w:tab w:val="num" w:pos="1031"/>
        </w:tabs>
        <w:rPr>
          <w:rFonts w:cs="Arial"/>
        </w:rPr>
      </w:pPr>
      <w:r>
        <w:rPr>
          <w:rFonts w:cs="Arial"/>
        </w:rPr>
        <w:t>Have you conducted a Data Impact Assessment?</w:t>
      </w:r>
    </w:p>
    <w:p w:rsidR="00F054D6" w:rsidRPr="007770F4" w:rsidRDefault="00517951" w:rsidP="007770F4">
      <w:pPr>
        <w:pStyle w:val="ListParagraph"/>
        <w:numPr>
          <w:ilvl w:val="0"/>
          <w:numId w:val="21"/>
        </w:numPr>
        <w:tabs>
          <w:tab w:val="num" w:pos="1031"/>
        </w:tabs>
        <w:rPr>
          <w:rFonts w:cs="Arial"/>
        </w:rPr>
      </w:pPr>
      <w:r w:rsidRPr="007770F4">
        <w:rPr>
          <w:rFonts w:cs="Arial"/>
        </w:rPr>
        <w:t xml:space="preserve">If it is sensitive, do you have the </w:t>
      </w:r>
      <w:r w:rsidR="00F054D6" w:rsidRPr="007770F4">
        <w:rPr>
          <w:rFonts w:cs="Arial"/>
        </w:rPr>
        <w:t>data subject's express consent?</w:t>
      </w:r>
    </w:p>
    <w:p w:rsidR="00F054D6" w:rsidRPr="007770F4" w:rsidRDefault="00517951" w:rsidP="007770F4">
      <w:pPr>
        <w:pStyle w:val="ListParagraph"/>
        <w:numPr>
          <w:ilvl w:val="0"/>
          <w:numId w:val="21"/>
        </w:numPr>
        <w:tabs>
          <w:tab w:val="num" w:pos="1031"/>
        </w:tabs>
        <w:rPr>
          <w:rFonts w:cs="Arial"/>
        </w:rPr>
      </w:pPr>
      <w:r w:rsidRPr="007770F4">
        <w:rPr>
          <w:rFonts w:cs="Arial"/>
        </w:rPr>
        <w:t xml:space="preserve">Has the individual or data subject been told that this </w:t>
      </w:r>
      <w:r w:rsidR="00F054D6" w:rsidRPr="007770F4">
        <w:rPr>
          <w:rFonts w:cs="Arial"/>
        </w:rPr>
        <w:t>type of data will be processed?</w:t>
      </w:r>
    </w:p>
    <w:p w:rsidR="00F054D6" w:rsidRPr="007770F4" w:rsidRDefault="00517951" w:rsidP="007770F4">
      <w:pPr>
        <w:pStyle w:val="ListParagraph"/>
        <w:numPr>
          <w:ilvl w:val="0"/>
          <w:numId w:val="21"/>
        </w:numPr>
        <w:tabs>
          <w:tab w:val="num" w:pos="1031"/>
        </w:tabs>
        <w:rPr>
          <w:rFonts w:cs="Arial"/>
        </w:rPr>
      </w:pPr>
      <w:r w:rsidRPr="007770F4">
        <w:rPr>
          <w:rFonts w:cs="Arial"/>
        </w:rPr>
        <w:t>Are you authorised to collect/store</w:t>
      </w:r>
      <w:r w:rsidR="00F054D6" w:rsidRPr="007770F4">
        <w:rPr>
          <w:rFonts w:cs="Arial"/>
        </w:rPr>
        <w:t>/process the data?</w:t>
      </w:r>
    </w:p>
    <w:p w:rsidR="00F054D6" w:rsidRPr="007770F4" w:rsidRDefault="00517951" w:rsidP="007770F4">
      <w:pPr>
        <w:pStyle w:val="ListParagraph"/>
        <w:numPr>
          <w:ilvl w:val="0"/>
          <w:numId w:val="21"/>
        </w:numPr>
        <w:tabs>
          <w:tab w:val="num" w:pos="1031"/>
        </w:tabs>
        <w:rPr>
          <w:rFonts w:cs="Arial"/>
        </w:rPr>
      </w:pPr>
      <w:r w:rsidRPr="007770F4">
        <w:rPr>
          <w:rFonts w:cs="Arial"/>
        </w:rPr>
        <w:t>If yes, have you checked with the data sub</w:t>
      </w:r>
      <w:r w:rsidR="00F054D6" w:rsidRPr="007770F4">
        <w:rPr>
          <w:rFonts w:cs="Arial"/>
        </w:rPr>
        <w:t>ject that the data is accurate?</w:t>
      </w:r>
    </w:p>
    <w:p w:rsidR="00F054D6" w:rsidRPr="007770F4" w:rsidRDefault="00517951" w:rsidP="007770F4">
      <w:pPr>
        <w:pStyle w:val="ListParagraph"/>
        <w:numPr>
          <w:ilvl w:val="0"/>
          <w:numId w:val="21"/>
        </w:numPr>
        <w:tabs>
          <w:tab w:val="num" w:pos="1031"/>
        </w:tabs>
        <w:rPr>
          <w:rFonts w:cs="Arial"/>
        </w:rPr>
      </w:pPr>
      <w:r w:rsidRPr="007770F4">
        <w:rPr>
          <w:rFonts w:cs="Arial"/>
        </w:rPr>
        <w:t>Are yo</w:t>
      </w:r>
      <w:r w:rsidR="00F054D6" w:rsidRPr="007770F4">
        <w:rPr>
          <w:rFonts w:cs="Arial"/>
        </w:rPr>
        <w:t>u sure that the data is secure?</w:t>
      </w:r>
    </w:p>
    <w:p w:rsidR="00F054D6" w:rsidRPr="007770F4" w:rsidRDefault="00517951" w:rsidP="007770F4">
      <w:pPr>
        <w:pStyle w:val="ListParagraph"/>
        <w:numPr>
          <w:ilvl w:val="0"/>
          <w:numId w:val="21"/>
        </w:numPr>
        <w:tabs>
          <w:tab w:val="num" w:pos="1031"/>
        </w:tabs>
        <w:rPr>
          <w:rFonts w:cs="Arial"/>
        </w:rPr>
      </w:pPr>
      <w:r w:rsidRPr="007770F4">
        <w:rPr>
          <w:rFonts w:cs="Arial"/>
        </w:rPr>
        <w:t>If you do not have the data subject's consent to process, are you satisfied that one of the other conditions for pro</w:t>
      </w:r>
      <w:r w:rsidR="00F054D6" w:rsidRPr="007770F4">
        <w:rPr>
          <w:rFonts w:cs="Arial"/>
        </w:rPr>
        <w:t>cessing data applies?</w:t>
      </w:r>
    </w:p>
    <w:p w:rsidR="00517951" w:rsidRPr="007770F4" w:rsidRDefault="00517951" w:rsidP="007770F4">
      <w:pPr>
        <w:pStyle w:val="ListParagraph"/>
        <w:numPr>
          <w:ilvl w:val="0"/>
          <w:numId w:val="21"/>
        </w:numPr>
        <w:tabs>
          <w:tab w:val="num" w:pos="1031"/>
        </w:tabs>
        <w:rPr>
          <w:rFonts w:cs="Arial"/>
        </w:rPr>
      </w:pPr>
      <w:r w:rsidRPr="007770F4">
        <w:rPr>
          <w:rFonts w:cs="Arial"/>
        </w:rPr>
        <w:t xml:space="preserve">How long do you need to keep the data for, and what is the mechanism for review/destruction? </w:t>
      </w:r>
    </w:p>
    <w:p w:rsidR="00212FE5" w:rsidRDefault="00212FE5" w:rsidP="00EE0C08">
      <w:pPr>
        <w:tabs>
          <w:tab w:val="num" w:pos="1031"/>
        </w:tabs>
        <w:rPr>
          <w:rFonts w:cs="Arial"/>
          <w:b/>
        </w:rPr>
        <w:sectPr w:rsidR="00212FE5" w:rsidSect="004F4EFF">
          <w:headerReference w:type="default" r:id="rId14"/>
          <w:footerReference w:type="default" r:id="rId15"/>
          <w:pgSz w:w="11907" w:h="16840" w:code="9"/>
          <w:pgMar w:top="992" w:right="1134" w:bottom="1134" w:left="1134" w:header="720" w:footer="720" w:gutter="0"/>
          <w:cols w:space="720"/>
          <w:noEndnote/>
        </w:sectPr>
      </w:pPr>
    </w:p>
    <w:p w:rsidR="00E627AC" w:rsidRPr="001C542C" w:rsidRDefault="008E75CA" w:rsidP="004F4EFF">
      <w:pPr>
        <w:pStyle w:val="Heading2"/>
      </w:pPr>
      <w:bookmarkStart w:id="20" w:name="_Toc514421212"/>
      <w:r>
        <w:lastRenderedPageBreak/>
        <w:t>Appendix E</w:t>
      </w:r>
      <w:r w:rsidR="004F66D9">
        <w:t>:</w:t>
      </w:r>
      <w:r w:rsidR="004F4EFF">
        <w:t xml:space="preserve"> </w:t>
      </w:r>
      <w:r w:rsidR="00E627AC" w:rsidRPr="001C542C">
        <w:t>Data Protection Impact Assessment</w:t>
      </w:r>
      <w:bookmarkEnd w:id="20"/>
    </w:p>
    <w:p w:rsidR="00D353D3" w:rsidRDefault="00D353D3">
      <w:pPr>
        <w:rPr>
          <w:rFonts w:cs="Arial"/>
        </w:rPr>
      </w:pPr>
    </w:p>
    <w:tbl>
      <w:tblPr>
        <w:tblStyle w:val="TableGrid"/>
        <w:tblW w:w="0" w:type="auto"/>
        <w:tblLook w:val="04A0" w:firstRow="1" w:lastRow="0" w:firstColumn="1" w:lastColumn="0" w:noHBand="0" w:noVBand="1"/>
      </w:tblPr>
      <w:tblGrid>
        <w:gridCol w:w="2791"/>
        <w:gridCol w:w="2790"/>
        <w:gridCol w:w="2789"/>
        <w:gridCol w:w="2789"/>
        <w:gridCol w:w="2791"/>
      </w:tblGrid>
      <w:tr w:rsidR="00212FE5" w:rsidRPr="001866B9" w:rsidTr="002A4753">
        <w:trPr>
          <w:trHeight w:val="441"/>
        </w:trPr>
        <w:tc>
          <w:tcPr>
            <w:tcW w:w="14000" w:type="dxa"/>
            <w:gridSpan w:val="5"/>
            <w:vAlign w:val="center"/>
          </w:tcPr>
          <w:p w:rsidR="00212FE5" w:rsidRPr="001866B9" w:rsidRDefault="00212FE5" w:rsidP="001866B9">
            <w:pPr>
              <w:pStyle w:val="Heading2"/>
              <w:outlineLvl w:val="1"/>
            </w:pPr>
            <w:bookmarkStart w:id="21" w:name="_Toc514421213"/>
            <w:r w:rsidRPr="001866B9">
              <w:t>Department:</w:t>
            </w:r>
            <w:bookmarkEnd w:id="21"/>
          </w:p>
        </w:tc>
      </w:tr>
      <w:tr w:rsidR="00212FE5" w:rsidRPr="001866B9" w:rsidTr="002A4753">
        <w:trPr>
          <w:trHeight w:val="420"/>
        </w:trPr>
        <w:tc>
          <w:tcPr>
            <w:tcW w:w="14000" w:type="dxa"/>
            <w:gridSpan w:val="5"/>
            <w:vAlign w:val="center"/>
          </w:tcPr>
          <w:p w:rsidR="00212FE5" w:rsidRPr="001866B9" w:rsidRDefault="00212FE5" w:rsidP="001866B9">
            <w:pPr>
              <w:pStyle w:val="Heading2"/>
              <w:outlineLvl w:val="1"/>
            </w:pPr>
            <w:bookmarkStart w:id="22" w:name="_Toc514421214"/>
            <w:r w:rsidRPr="001866B9">
              <w:t>Lead Staff Member (Data Controller)</w:t>
            </w:r>
            <w:bookmarkEnd w:id="22"/>
            <w:r w:rsidR="004F66D9">
              <w:t>:</w:t>
            </w:r>
          </w:p>
        </w:tc>
      </w:tr>
      <w:tr w:rsidR="00212FE5" w:rsidRPr="001866B9" w:rsidTr="002A4753">
        <w:trPr>
          <w:trHeight w:val="425"/>
        </w:trPr>
        <w:tc>
          <w:tcPr>
            <w:tcW w:w="14000" w:type="dxa"/>
            <w:gridSpan w:val="5"/>
            <w:vAlign w:val="center"/>
          </w:tcPr>
          <w:p w:rsidR="00212FE5" w:rsidRPr="001866B9" w:rsidRDefault="00212FE5" w:rsidP="001866B9">
            <w:pPr>
              <w:pStyle w:val="Heading2"/>
              <w:outlineLvl w:val="1"/>
            </w:pPr>
            <w:bookmarkStart w:id="23" w:name="_Toc514421215"/>
            <w:r w:rsidRPr="001866B9">
              <w:t>Data Processors</w:t>
            </w:r>
            <w:bookmarkEnd w:id="23"/>
            <w:r w:rsidR="004F66D9">
              <w:t>:</w:t>
            </w:r>
          </w:p>
        </w:tc>
      </w:tr>
      <w:tr w:rsidR="00212FE5" w:rsidRPr="001866B9" w:rsidTr="002A4753">
        <w:trPr>
          <w:trHeight w:val="417"/>
        </w:trPr>
        <w:tc>
          <w:tcPr>
            <w:tcW w:w="14000" w:type="dxa"/>
            <w:gridSpan w:val="5"/>
            <w:vAlign w:val="center"/>
          </w:tcPr>
          <w:p w:rsidR="00212FE5" w:rsidRPr="001866B9" w:rsidRDefault="00212FE5" w:rsidP="001866B9">
            <w:pPr>
              <w:pStyle w:val="Heading2"/>
              <w:outlineLvl w:val="1"/>
            </w:pPr>
            <w:bookmarkStart w:id="24" w:name="_Toc514421216"/>
            <w:r w:rsidRPr="001866B9">
              <w:t>Project Title</w:t>
            </w:r>
            <w:bookmarkEnd w:id="24"/>
            <w:r w:rsidR="004F66D9">
              <w:t>:</w:t>
            </w:r>
          </w:p>
        </w:tc>
      </w:tr>
      <w:tr w:rsidR="00212FE5" w:rsidRPr="001866B9" w:rsidTr="002A4753">
        <w:trPr>
          <w:trHeight w:val="408"/>
        </w:trPr>
        <w:tc>
          <w:tcPr>
            <w:tcW w:w="14000" w:type="dxa"/>
            <w:gridSpan w:val="5"/>
            <w:vAlign w:val="center"/>
          </w:tcPr>
          <w:p w:rsidR="00212FE5" w:rsidRPr="001866B9" w:rsidRDefault="00212FE5" w:rsidP="001866B9">
            <w:pPr>
              <w:pStyle w:val="Heading2"/>
              <w:outlineLvl w:val="1"/>
            </w:pPr>
            <w:bookmarkStart w:id="25" w:name="_Toc514421217"/>
            <w:r w:rsidRPr="001866B9">
              <w:t>Strategic Relevance</w:t>
            </w:r>
            <w:bookmarkEnd w:id="25"/>
            <w:r w:rsidR="004F66D9">
              <w:t>:</w:t>
            </w:r>
          </w:p>
        </w:tc>
      </w:tr>
      <w:tr w:rsidR="00D353D3" w:rsidRPr="002A4753" w:rsidTr="00212FE5">
        <w:trPr>
          <w:trHeight w:val="1507"/>
        </w:trPr>
        <w:tc>
          <w:tcPr>
            <w:tcW w:w="2800" w:type="dxa"/>
            <w:vAlign w:val="center"/>
          </w:tcPr>
          <w:p w:rsidR="00D353D3" w:rsidRPr="002A4753" w:rsidRDefault="00D353D3" w:rsidP="001866B9">
            <w:r w:rsidRPr="002A4753">
              <w:t>What are the processing operations?</w:t>
            </w:r>
          </w:p>
        </w:tc>
        <w:tc>
          <w:tcPr>
            <w:tcW w:w="2800" w:type="dxa"/>
            <w:vAlign w:val="center"/>
          </w:tcPr>
          <w:p w:rsidR="00D353D3" w:rsidRPr="002A4753" w:rsidRDefault="00D353D3" w:rsidP="001866B9">
            <w:r w:rsidRPr="002A4753">
              <w:t>What are the legitimate interests? What is it being used for?</w:t>
            </w:r>
          </w:p>
        </w:tc>
        <w:tc>
          <w:tcPr>
            <w:tcW w:w="2800" w:type="dxa"/>
            <w:vAlign w:val="center"/>
          </w:tcPr>
          <w:p w:rsidR="00D353D3" w:rsidRPr="002A4753" w:rsidRDefault="00D353D3" w:rsidP="001866B9">
            <w:r w:rsidRPr="002A4753">
              <w:t>What risks are involved to individual data?</w:t>
            </w:r>
          </w:p>
        </w:tc>
        <w:tc>
          <w:tcPr>
            <w:tcW w:w="2800" w:type="dxa"/>
            <w:vAlign w:val="center"/>
          </w:tcPr>
          <w:p w:rsidR="00D353D3" w:rsidRPr="002A4753" w:rsidRDefault="00D353D3" w:rsidP="001866B9">
            <w:r w:rsidRPr="002A4753">
              <w:t>What measures are in place to mitigate those risks</w:t>
            </w:r>
            <w:r w:rsidR="004F66D9">
              <w:t>?</w:t>
            </w:r>
          </w:p>
        </w:tc>
        <w:tc>
          <w:tcPr>
            <w:tcW w:w="2800" w:type="dxa"/>
            <w:vAlign w:val="center"/>
          </w:tcPr>
          <w:p w:rsidR="00D353D3" w:rsidRPr="002A4753" w:rsidRDefault="002A4753" w:rsidP="001866B9">
            <w:r w:rsidRPr="002A4753">
              <w:t>Further Notes / Observations</w:t>
            </w:r>
          </w:p>
        </w:tc>
      </w:tr>
      <w:tr w:rsidR="00D353D3" w:rsidRPr="002A4753" w:rsidTr="002A4753">
        <w:trPr>
          <w:trHeight w:val="2326"/>
        </w:trPr>
        <w:tc>
          <w:tcPr>
            <w:tcW w:w="2800" w:type="dxa"/>
            <w:vAlign w:val="center"/>
          </w:tcPr>
          <w:p w:rsidR="00D353D3" w:rsidRPr="002A4753" w:rsidRDefault="00D353D3" w:rsidP="001C542C">
            <w:pPr>
              <w:rPr>
                <w:rFonts w:cs="Arial"/>
                <w:sz w:val="24"/>
              </w:rPr>
            </w:pPr>
          </w:p>
        </w:tc>
        <w:tc>
          <w:tcPr>
            <w:tcW w:w="2800" w:type="dxa"/>
            <w:vAlign w:val="center"/>
          </w:tcPr>
          <w:p w:rsidR="00D353D3" w:rsidRPr="002A4753" w:rsidRDefault="00D353D3" w:rsidP="001C542C">
            <w:pPr>
              <w:rPr>
                <w:rFonts w:cs="Arial"/>
                <w:sz w:val="24"/>
              </w:rPr>
            </w:pPr>
          </w:p>
        </w:tc>
        <w:tc>
          <w:tcPr>
            <w:tcW w:w="2800" w:type="dxa"/>
            <w:vAlign w:val="center"/>
          </w:tcPr>
          <w:p w:rsidR="00D353D3" w:rsidRPr="002A4753" w:rsidRDefault="00D353D3" w:rsidP="001C542C">
            <w:pPr>
              <w:rPr>
                <w:rFonts w:cs="Arial"/>
                <w:sz w:val="24"/>
              </w:rPr>
            </w:pPr>
          </w:p>
        </w:tc>
        <w:tc>
          <w:tcPr>
            <w:tcW w:w="2800" w:type="dxa"/>
            <w:vAlign w:val="center"/>
          </w:tcPr>
          <w:p w:rsidR="00D353D3" w:rsidRPr="002A4753" w:rsidRDefault="00D353D3" w:rsidP="001C542C">
            <w:pPr>
              <w:rPr>
                <w:rFonts w:cs="Arial"/>
                <w:sz w:val="24"/>
              </w:rPr>
            </w:pPr>
          </w:p>
        </w:tc>
        <w:tc>
          <w:tcPr>
            <w:tcW w:w="2800" w:type="dxa"/>
            <w:vAlign w:val="center"/>
          </w:tcPr>
          <w:p w:rsidR="00D353D3" w:rsidRPr="002A4753" w:rsidRDefault="00D353D3" w:rsidP="001C542C">
            <w:pPr>
              <w:rPr>
                <w:rFonts w:cs="Arial"/>
                <w:sz w:val="24"/>
              </w:rPr>
            </w:pPr>
          </w:p>
        </w:tc>
      </w:tr>
    </w:tbl>
    <w:p w:rsidR="00D353D3" w:rsidRPr="00D57572" w:rsidRDefault="00D353D3">
      <w:pPr>
        <w:rPr>
          <w:rFonts w:cs="Arial"/>
        </w:rPr>
      </w:pPr>
    </w:p>
    <w:sectPr w:rsidR="00D353D3" w:rsidRPr="00D57572" w:rsidSect="00212FE5">
      <w:pgSz w:w="16840" w:h="11907" w:orient="landscape"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EE2" w:rsidRDefault="00432EE2" w:rsidP="00D57572">
      <w:pPr>
        <w:spacing w:after="0" w:line="240" w:lineRule="auto"/>
      </w:pPr>
      <w:r>
        <w:separator/>
      </w:r>
    </w:p>
  </w:endnote>
  <w:endnote w:type="continuationSeparator" w:id="0">
    <w:p w:rsidR="00432EE2" w:rsidRDefault="00432EE2" w:rsidP="00D57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lantin">
    <w:altName w:val="Dido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157" w:rsidRDefault="00884157">
    <w:pPr>
      <w:pStyle w:val="Footer"/>
    </w:pPr>
    <w:r>
      <w:t>Aston Students’ Union Data Protection Policy May 2018</w:t>
    </w:r>
  </w:p>
  <w:p w:rsidR="00884157" w:rsidRDefault="00884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EE2" w:rsidRDefault="00432EE2" w:rsidP="00D57572">
      <w:pPr>
        <w:spacing w:after="0" w:line="240" w:lineRule="auto"/>
      </w:pPr>
      <w:r>
        <w:separator/>
      </w:r>
    </w:p>
  </w:footnote>
  <w:footnote w:type="continuationSeparator" w:id="0">
    <w:p w:rsidR="00432EE2" w:rsidRDefault="00432EE2" w:rsidP="00D57572">
      <w:pPr>
        <w:spacing w:after="0" w:line="240" w:lineRule="auto"/>
      </w:pPr>
      <w:r>
        <w:continuationSeparator/>
      </w:r>
    </w:p>
  </w:footnote>
  <w:footnote w:id="1">
    <w:p w:rsidR="00884157" w:rsidRPr="00651056" w:rsidRDefault="00884157">
      <w:pPr>
        <w:pStyle w:val="FootnoteText"/>
        <w:rPr>
          <w:lang w:val="en-US"/>
        </w:rPr>
      </w:pPr>
      <w:r>
        <w:rPr>
          <w:rStyle w:val="FootnoteReference"/>
        </w:rPr>
        <w:footnoteRef/>
      </w:r>
      <w:r>
        <w:t xml:space="preserve"> </w:t>
      </w:r>
      <w:r w:rsidRPr="00651056">
        <w:t>http://advicequalitystandard.org.uk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787386737"/>
      <w:docPartObj>
        <w:docPartGallery w:val="Page Numbers (Top of Page)"/>
        <w:docPartUnique/>
      </w:docPartObj>
    </w:sdtPr>
    <w:sdtEndPr>
      <w:rPr>
        <w:b/>
        <w:bCs/>
        <w:noProof/>
        <w:color w:val="auto"/>
        <w:spacing w:val="0"/>
      </w:rPr>
    </w:sdtEndPr>
    <w:sdtContent>
      <w:p w:rsidR="00884157" w:rsidRDefault="0088415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D1074" w:rsidRPr="009D1074">
          <w:rPr>
            <w:b/>
            <w:bCs/>
            <w:noProof/>
          </w:rPr>
          <w:t>10</w:t>
        </w:r>
        <w:r>
          <w:rPr>
            <w:b/>
            <w:bCs/>
            <w:noProof/>
          </w:rPr>
          <w:fldChar w:fldCharType="end"/>
        </w:r>
      </w:p>
    </w:sdtContent>
  </w:sdt>
  <w:p w:rsidR="00884157" w:rsidRDefault="00884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57F5"/>
    <w:multiLevelType w:val="hybridMultilevel"/>
    <w:tmpl w:val="18A61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43C79"/>
    <w:multiLevelType w:val="hybridMultilevel"/>
    <w:tmpl w:val="3DD6B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E10D9B"/>
    <w:multiLevelType w:val="hybridMultilevel"/>
    <w:tmpl w:val="2722C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F4D48"/>
    <w:multiLevelType w:val="hybridMultilevel"/>
    <w:tmpl w:val="33302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7203E8"/>
    <w:multiLevelType w:val="hybridMultilevel"/>
    <w:tmpl w:val="FB92C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BB430F"/>
    <w:multiLevelType w:val="singleLevel"/>
    <w:tmpl w:val="9000C83E"/>
    <w:lvl w:ilvl="0">
      <w:start w:val="1"/>
      <w:numFmt w:val="bullet"/>
      <w:pStyle w:val="Heading4"/>
      <w:lvlText w:val=""/>
      <w:lvlJc w:val="left"/>
      <w:pPr>
        <w:tabs>
          <w:tab w:val="num" w:pos="360"/>
        </w:tabs>
        <w:ind w:left="360" w:hanging="360"/>
      </w:pPr>
      <w:rPr>
        <w:rFonts w:ascii="Symbol" w:hAnsi="Symbol" w:hint="default"/>
      </w:rPr>
    </w:lvl>
  </w:abstractNum>
  <w:abstractNum w:abstractNumId="6" w15:restartNumberingAfterBreak="0">
    <w:nsid w:val="0E864F5B"/>
    <w:multiLevelType w:val="hybridMultilevel"/>
    <w:tmpl w:val="546A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E1E9E"/>
    <w:multiLevelType w:val="multilevel"/>
    <w:tmpl w:val="2F787846"/>
    <w:lvl w:ilvl="0">
      <w:start w:val="1"/>
      <w:numFmt w:val="none"/>
      <w:pStyle w:val="BodyText"/>
      <w:lvlText w:val=""/>
      <w:lvlJc w:val="left"/>
      <w:pPr>
        <w:tabs>
          <w:tab w:val="num" w:pos="-409"/>
        </w:tabs>
        <w:ind w:left="-409" w:hanging="360"/>
      </w:pPr>
      <w:rPr>
        <w:rFonts w:hint="default"/>
      </w:rPr>
    </w:lvl>
    <w:lvl w:ilvl="1">
      <w:start w:val="1"/>
      <w:numFmt w:val="decimal"/>
      <w:lvlText w:val="%2."/>
      <w:lvlJc w:val="left"/>
      <w:pPr>
        <w:tabs>
          <w:tab w:val="num" w:pos="671"/>
        </w:tabs>
        <w:ind w:left="311" w:hanging="360"/>
      </w:pPr>
      <w:rPr>
        <w:rFonts w:hint="default"/>
      </w:rPr>
    </w:lvl>
    <w:lvl w:ilvl="2">
      <w:start w:val="1"/>
      <w:numFmt w:val="decimal"/>
      <w:pStyle w:val="BodyText"/>
      <w:lvlText w:val="%2.%3"/>
      <w:lvlJc w:val="right"/>
      <w:pPr>
        <w:tabs>
          <w:tab w:val="num" w:pos="1031"/>
        </w:tabs>
        <w:ind w:left="1031" w:hanging="180"/>
      </w:pPr>
      <w:rPr>
        <w:rFonts w:hint="default"/>
      </w:rPr>
    </w:lvl>
    <w:lvl w:ilvl="3">
      <w:start w:val="1"/>
      <w:numFmt w:val="lowerLetter"/>
      <w:pStyle w:val="List1"/>
      <w:lvlText w:val="%4."/>
      <w:lvlJc w:val="left"/>
      <w:pPr>
        <w:tabs>
          <w:tab w:val="num" w:pos="2111"/>
        </w:tabs>
        <w:ind w:left="1751" w:hanging="360"/>
      </w:pPr>
      <w:rPr>
        <w:rFonts w:hint="default"/>
      </w:rPr>
    </w:lvl>
    <w:lvl w:ilvl="4">
      <w:start w:val="1"/>
      <w:numFmt w:val="lowerLetter"/>
      <w:lvlText w:val="%5."/>
      <w:lvlJc w:val="left"/>
      <w:pPr>
        <w:tabs>
          <w:tab w:val="num" w:pos="2471"/>
        </w:tabs>
        <w:ind w:left="2471" w:hanging="360"/>
      </w:pPr>
      <w:rPr>
        <w:rFonts w:hint="default"/>
      </w:rPr>
    </w:lvl>
    <w:lvl w:ilvl="5">
      <w:start w:val="1"/>
      <w:numFmt w:val="lowerRoman"/>
      <w:lvlText w:val="%6."/>
      <w:lvlJc w:val="right"/>
      <w:pPr>
        <w:tabs>
          <w:tab w:val="num" w:pos="3191"/>
        </w:tabs>
        <w:ind w:left="3191" w:hanging="180"/>
      </w:pPr>
      <w:rPr>
        <w:rFonts w:hint="default"/>
      </w:rPr>
    </w:lvl>
    <w:lvl w:ilvl="6">
      <w:start w:val="1"/>
      <w:numFmt w:val="decimal"/>
      <w:lvlText w:val="%7."/>
      <w:lvlJc w:val="left"/>
      <w:pPr>
        <w:tabs>
          <w:tab w:val="num" w:pos="3911"/>
        </w:tabs>
        <w:ind w:left="3911" w:hanging="360"/>
      </w:pPr>
      <w:rPr>
        <w:rFonts w:hint="default"/>
      </w:rPr>
    </w:lvl>
    <w:lvl w:ilvl="7">
      <w:start w:val="1"/>
      <w:numFmt w:val="lowerLetter"/>
      <w:lvlText w:val="%8."/>
      <w:lvlJc w:val="left"/>
      <w:pPr>
        <w:tabs>
          <w:tab w:val="num" w:pos="4631"/>
        </w:tabs>
        <w:ind w:left="4631" w:hanging="360"/>
      </w:pPr>
      <w:rPr>
        <w:rFonts w:hint="default"/>
      </w:rPr>
    </w:lvl>
    <w:lvl w:ilvl="8">
      <w:start w:val="1"/>
      <w:numFmt w:val="lowerRoman"/>
      <w:lvlText w:val="%9."/>
      <w:lvlJc w:val="right"/>
      <w:pPr>
        <w:tabs>
          <w:tab w:val="num" w:pos="5351"/>
        </w:tabs>
        <w:ind w:left="5351" w:hanging="180"/>
      </w:pPr>
      <w:rPr>
        <w:rFonts w:hint="default"/>
      </w:rPr>
    </w:lvl>
  </w:abstractNum>
  <w:abstractNum w:abstractNumId="8" w15:restartNumberingAfterBreak="0">
    <w:nsid w:val="11C44FB2"/>
    <w:multiLevelType w:val="hybridMultilevel"/>
    <w:tmpl w:val="F096469A"/>
    <w:lvl w:ilvl="0" w:tplc="3998E10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EE360B"/>
    <w:multiLevelType w:val="multilevel"/>
    <w:tmpl w:val="11A66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171548"/>
    <w:multiLevelType w:val="hybridMultilevel"/>
    <w:tmpl w:val="4738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A43914"/>
    <w:multiLevelType w:val="hybridMultilevel"/>
    <w:tmpl w:val="030AE726"/>
    <w:lvl w:ilvl="0" w:tplc="8FCC0AC8">
      <w:start w:val="6"/>
      <w:numFmt w:val="bullet"/>
      <w:lvlText w:val=""/>
      <w:lvlJc w:val="left"/>
      <w:pPr>
        <w:ind w:left="720" w:hanging="360"/>
      </w:pPr>
      <w:rPr>
        <w:rFonts w:ascii="Wingdings 2" w:eastAsiaTheme="minorHAns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17520B"/>
    <w:multiLevelType w:val="hybridMultilevel"/>
    <w:tmpl w:val="9572B1C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7157C1"/>
    <w:multiLevelType w:val="hybridMultilevel"/>
    <w:tmpl w:val="A5923F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1A2C0F"/>
    <w:multiLevelType w:val="hybridMultilevel"/>
    <w:tmpl w:val="C9DA6D50"/>
    <w:lvl w:ilvl="0" w:tplc="1F0EDD3A">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5241ED4"/>
    <w:multiLevelType w:val="hybridMultilevel"/>
    <w:tmpl w:val="89285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037226"/>
    <w:multiLevelType w:val="multilevel"/>
    <w:tmpl w:val="CD38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775813"/>
    <w:multiLevelType w:val="hybridMultilevel"/>
    <w:tmpl w:val="2188E940"/>
    <w:lvl w:ilvl="0" w:tplc="8FCC0AC8">
      <w:start w:val="6"/>
      <w:numFmt w:val="bullet"/>
      <w:lvlText w:val=""/>
      <w:lvlJc w:val="left"/>
      <w:pPr>
        <w:ind w:left="360" w:hanging="360"/>
      </w:pPr>
      <w:rPr>
        <w:rFonts w:ascii="Wingdings 2" w:eastAsiaTheme="minorHAnsi" w:hAnsi="Wingdings 2"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E30DC0"/>
    <w:multiLevelType w:val="hybridMultilevel"/>
    <w:tmpl w:val="EA126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8E0B46"/>
    <w:multiLevelType w:val="hybridMultilevel"/>
    <w:tmpl w:val="7570C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C971BD"/>
    <w:multiLevelType w:val="hybridMultilevel"/>
    <w:tmpl w:val="824650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D6E63A6"/>
    <w:multiLevelType w:val="multilevel"/>
    <w:tmpl w:val="91BC4908"/>
    <w:styleLink w:val="ScheduleNumbering"/>
    <w:lvl w:ilvl="0">
      <w:start w:val="1"/>
      <w:numFmt w:val="none"/>
      <w:pStyle w:val="Schedule"/>
      <w:suff w:val="nothing"/>
      <w:lvlText w:val="Schedule%1"/>
      <w:lvlJc w:val="left"/>
      <w:pPr>
        <w:ind w:left="0" w:firstLine="0"/>
      </w:pPr>
      <w:rPr>
        <w:rFonts w:ascii="Verdana" w:hAnsi="Verdana" w:hint="default"/>
        <w:b/>
        <w:i w:val="0"/>
        <w:sz w:val="18"/>
      </w:rPr>
    </w:lvl>
    <w:lvl w:ilvl="1">
      <w:start w:val="1"/>
      <w:numFmt w:val="decimal"/>
      <w:pStyle w:val="Schedule1"/>
      <w:suff w:val="nothing"/>
      <w:lvlText w:val="Schedule %2"/>
      <w:lvlJc w:val="left"/>
      <w:pPr>
        <w:ind w:left="0" w:firstLine="0"/>
      </w:pPr>
      <w:rPr>
        <w:rFonts w:ascii="Verdana" w:hAnsi="Verdana" w:hint="default"/>
        <w:b/>
        <w:i w:val="0"/>
        <w:sz w:val="18"/>
      </w:rPr>
    </w:lvl>
    <w:lvl w:ilvl="2">
      <w:start w:val="1"/>
      <w:numFmt w:val="decimal"/>
      <w:pStyle w:val="Part"/>
      <w:suff w:val="nothing"/>
      <w:lvlText w:val="Part %3"/>
      <w:lvlJc w:val="left"/>
      <w:pPr>
        <w:ind w:left="1021" w:hanging="1021"/>
      </w:pPr>
      <w:rPr>
        <w:rFonts w:ascii="Verdana" w:hAnsi="Verdana" w:hint="default"/>
        <w:b/>
        <w:i w:val="0"/>
        <w:sz w:val="18"/>
      </w:rPr>
    </w:lvl>
    <w:lvl w:ilvl="3">
      <w:start w:val="1"/>
      <w:numFmt w:val="decimal"/>
      <w:pStyle w:val="Sch1Heading"/>
      <w:lvlText w:val="%4."/>
      <w:lvlJc w:val="left"/>
      <w:pPr>
        <w:ind w:left="1021" w:hanging="1021"/>
      </w:pPr>
      <w:rPr>
        <w:rFonts w:ascii="Verdana" w:hAnsi="Verdana" w:hint="default"/>
        <w:b w:val="0"/>
        <w:i w:val="0"/>
        <w:sz w:val="18"/>
      </w:rPr>
    </w:lvl>
    <w:lvl w:ilvl="4">
      <w:start w:val="1"/>
      <w:numFmt w:val="decimal"/>
      <w:pStyle w:val="Sch2Heading"/>
      <w:lvlText w:val="%4.%5"/>
      <w:lvlJc w:val="left"/>
      <w:pPr>
        <w:ind w:left="1021" w:hanging="1021"/>
      </w:pPr>
      <w:rPr>
        <w:rFonts w:ascii="Verdana" w:hAnsi="Verdana" w:hint="default"/>
        <w:b w:val="0"/>
        <w:i w:val="0"/>
        <w:sz w:val="18"/>
      </w:rPr>
    </w:lvl>
    <w:lvl w:ilvl="5">
      <w:start w:val="1"/>
      <w:numFmt w:val="decimal"/>
      <w:pStyle w:val="Sch3Heading"/>
      <w:lvlText w:val="%4.%5.%6"/>
      <w:lvlJc w:val="left"/>
      <w:pPr>
        <w:ind w:left="1021" w:hanging="1021"/>
      </w:pPr>
      <w:rPr>
        <w:rFonts w:ascii="Verdana" w:hAnsi="Verdana" w:hint="default"/>
        <w:b w:val="0"/>
        <w:i w:val="0"/>
        <w:sz w:val="18"/>
      </w:rPr>
    </w:lvl>
    <w:lvl w:ilvl="6">
      <w:start w:val="1"/>
      <w:numFmt w:val="decimal"/>
      <w:pStyle w:val="Sch4Number"/>
      <w:lvlText w:val="%4.%5.%6.%7"/>
      <w:lvlJc w:val="left"/>
      <w:pPr>
        <w:tabs>
          <w:tab w:val="num" w:pos="1021"/>
        </w:tabs>
        <w:ind w:left="1021" w:hanging="1021"/>
      </w:pPr>
      <w:rPr>
        <w:rFonts w:ascii="Verdana" w:hAnsi="Verdana" w:hint="default"/>
        <w:sz w:val="18"/>
      </w:rPr>
    </w:lvl>
    <w:lvl w:ilvl="7">
      <w:start w:val="1"/>
      <w:numFmt w:val="lowerLetter"/>
      <w:pStyle w:val="Sch5Number"/>
      <w:lvlText w:val="(%8)"/>
      <w:lvlJc w:val="left"/>
      <w:pPr>
        <w:ind w:left="2041" w:hanging="1020"/>
      </w:pPr>
      <w:rPr>
        <w:rFonts w:ascii="Verdana" w:hAnsi="Verdana" w:hint="default"/>
        <w:sz w:val="18"/>
      </w:rPr>
    </w:lvl>
    <w:lvl w:ilvl="8">
      <w:start w:val="1"/>
      <w:numFmt w:val="lowerRoman"/>
      <w:pStyle w:val="Sch6Number"/>
      <w:lvlText w:val="(%9)"/>
      <w:lvlJc w:val="left"/>
      <w:pPr>
        <w:ind w:left="3062" w:hanging="1021"/>
      </w:pPr>
      <w:rPr>
        <w:rFonts w:ascii="Verdana" w:hAnsi="Verdana" w:hint="default"/>
        <w:sz w:val="18"/>
      </w:rPr>
    </w:lvl>
  </w:abstractNum>
  <w:abstractNum w:abstractNumId="22" w15:restartNumberingAfterBreak="0">
    <w:nsid w:val="427D0977"/>
    <w:multiLevelType w:val="hybridMultilevel"/>
    <w:tmpl w:val="A80ED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913D1C"/>
    <w:multiLevelType w:val="multilevel"/>
    <w:tmpl w:val="91BC4908"/>
    <w:numStyleLink w:val="ScheduleNumbering"/>
  </w:abstractNum>
  <w:abstractNum w:abstractNumId="24" w15:restartNumberingAfterBreak="0">
    <w:nsid w:val="4A8806D8"/>
    <w:multiLevelType w:val="multilevel"/>
    <w:tmpl w:val="5B02C7A2"/>
    <w:styleLink w:val="StyleBulletedBoldPatternClearWhite"/>
    <w:lvl w:ilvl="0">
      <w:start w:val="1"/>
      <w:numFmt w:val="bullet"/>
      <w:lvlText w:val=""/>
      <w:lvlJc w:val="left"/>
      <w:pPr>
        <w:tabs>
          <w:tab w:val="num" w:pos="720"/>
        </w:tabs>
        <w:ind w:left="720" w:hanging="360"/>
      </w:pPr>
      <w:rPr>
        <w:rFonts w:ascii="Symbol" w:hAnsi="Symbol" w:hint="default"/>
        <w:b/>
        <w:bCs/>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8F4D37"/>
    <w:multiLevelType w:val="hybridMultilevel"/>
    <w:tmpl w:val="DB10A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0627EE"/>
    <w:multiLevelType w:val="hybridMultilevel"/>
    <w:tmpl w:val="346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1E3B1C"/>
    <w:multiLevelType w:val="hybridMultilevel"/>
    <w:tmpl w:val="24541DE2"/>
    <w:lvl w:ilvl="0" w:tplc="E16A1E58">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9C1126"/>
    <w:multiLevelType w:val="multilevel"/>
    <w:tmpl w:val="05C844E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9" w15:restartNumberingAfterBreak="0">
    <w:nsid w:val="613501D6"/>
    <w:multiLevelType w:val="hybridMultilevel"/>
    <w:tmpl w:val="6A164E46"/>
    <w:lvl w:ilvl="0" w:tplc="3800CCC8">
      <w:start w:val="1"/>
      <w:numFmt w:val="decimal"/>
      <w:lvlText w:val="%1."/>
      <w:lvlJc w:val="left"/>
      <w:pPr>
        <w:ind w:left="405" w:hanging="405"/>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45860D3"/>
    <w:multiLevelType w:val="hybridMultilevel"/>
    <w:tmpl w:val="B98A644A"/>
    <w:lvl w:ilvl="0" w:tplc="0809000F">
      <w:start w:val="1"/>
      <w:numFmt w:val="decimal"/>
      <w:lvlText w:val="%1."/>
      <w:lvlJc w:val="left"/>
      <w:pPr>
        <w:ind w:left="1752" w:hanging="360"/>
      </w:pPr>
    </w:lvl>
    <w:lvl w:ilvl="1" w:tplc="08090019" w:tentative="1">
      <w:start w:val="1"/>
      <w:numFmt w:val="lowerLetter"/>
      <w:lvlText w:val="%2."/>
      <w:lvlJc w:val="left"/>
      <w:pPr>
        <w:ind w:left="2472" w:hanging="360"/>
      </w:pPr>
    </w:lvl>
    <w:lvl w:ilvl="2" w:tplc="0809001B" w:tentative="1">
      <w:start w:val="1"/>
      <w:numFmt w:val="lowerRoman"/>
      <w:lvlText w:val="%3."/>
      <w:lvlJc w:val="right"/>
      <w:pPr>
        <w:ind w:left="3192" w:hanging="180"/>
      </w:pPr>
    </w:lvl>
    <w:lvl w:ilvl="3" w:tplc="0809000F" w:tentative="1">
      <w:start w:val="1"/>
      <w:numFmt w:val="decimal"/>
      <w:lvlText w:val="%4."/>
      <w:lvlJc w:val="left"/>
      <w:pPr>
        <w:ind w:left="3912" w:hanging="360"/>
      </w:pPr>
    </w:lvl>
    <w:lvl w:ilvl="4" w:tplc="08090019" w:tentative="1">
      <w:start w:val="1"/>
      <w:numFmt w:val="lowerLetter"/>
      <w:lvlText w:val="%5."/>
      <w:lvlJc w:val="left"/>
      <w:pPr>
        <w:ind w:left="4632" w:hanging="360"/>
      </w:pPr>
    </w:lvl>
    <w:lvl w:ilvl="5" w:tplc="0809001B" w:tentative="1">
      <w:start w:val="1"/>
      <w:numFmt w:val="lowerRoman"/>
      <w:lvlText w:val="%6."/>
      <w:lvlJc w:val="right"/>
      <w:pPr>
        <w:ind w:left="5352" w:hanging="180"/>
      </w:pPr>
    </w:lvl>
    <w:lvl w:ilvl="6" w:tplc="0809000F" w:tentative="1">
      <w:start w:val="1"/>
      <w:numFmt w:val="decimal"/>
      <w:lvlText w:val="%7."/>
      <w:lvlJc w:val="left"/>
      <w:pPr>
        <w:ind w:left="6072" w:hanging="360"/>
      </w:pPr>
    </w:lvl>
    <w:lvl w:ilvl="7" w:tplc="08090019" w:tentative="1">
      <w:start w:val="1"/>
      <w:numFmt w:val="lowerLetter"/>
      <w:lvlText w:val="%8."/>
      <w:lvlJc w:val="left"/>
      <w:pPr>
        <w:ind w:left="6792" w:hanging="360"/>
      </w:pPr>
    </w:lvl>
    <w:lvl w:ilvl="8" w:tplc="0809001B" w:tentative="1">
      <w:start w:val="1"/>
      <w:numFmt w:val="lowerRoman"/>
      <w:lvlText w:val="%9."/>
      <w:lvlJc w:val="right"/>
      <w:pPr>
        <w:ind w:left="7512" w:hanging="180"/>
      </w:pPr>
    </w:lvl>
  </w:abstractNum>
  <w:abstractNum w:abstractNumId="31" w15:restartNumberingAfterBreak="0">
    <w:nsid w:val="68571EEC"/>
    <w:multiLevelType w:val="hybridMultilevel"/>
    <w:tmpl w:val="EA1263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9D01625"/>
    <w:multiLevelType w:val="hybridMultilevel"/>
    <w:tmpl w:val="89285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F55086"/>
    <w:multiLevelType w:val="multilevel"/>
    <w:tmpl w:val="5A3060B4"/>
    <w:lvl w:ilvl="0">
      <w:start w:val="1"/>
      <w:numFmt w:val="decimal"/>
      <w:pStyle w:val="plantin11"/>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34" w15:restartNumberingAfterBreak="0">
    <w:nsid w:val="74CB4FCD"/>
    <w:multiLevelType w:val="multilevel"/>
    <w:tmpl w:val="7C928C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6DA5E64"/>
    <w:multiLevelType w:val="multilevel"/>
    <w:tmpl w:val="47002DCA"/>
    <w:lvl w:ilvl="0">
      <w:start w:val="1"/>
      <w:numFmt w:val="decimal"/>
      <w:pStyle w:val="TOCMARK1"/>
      <w:lvlText w:val="%1"/>
      <w:lvlJc w:val="left"/>
      <w:pPr>
        <w:tabs>
          <w:tab w:val="num" w:pos="720"/>
        </w:tabs>
        <w:ind w:left="720" w:hanging="720"/>
      </w:pPr>
      <w:rPr>
        <w:rFonts w:ascii="Arial" w:hAnsi="Arial" w:cs="Times New Roman" w:hint="default"/>
        <w:b w:val="0"/>
        <w:i w:val="0"/>
        <w:caps/>
        <w:sz w:val="20"/>
        <w:szCs w:val="20"/>
      </w:rPr>
    </w:lvl>
    <w:lvl w:ilvl="1">
      <w:start w:val="1"/>
      <w:numFmt w:val="decimal"/>
      <w:pStyle w:val="Numbering2"/>
      <w:lvlText w:val="%1.%2"/>
      <w:lvlJc w:val="left"/>
      <w:pPr>
        <w:tabs>
          <w:tab w:val="num" w:pos="1440"/>
        </w:tabs>
        <w:ind w:left="1440" w:hanging="720"/>
      </w:pPr>
      <w:rPr>
        <w:rFonts w:ascii="Arial" w:hAnsi="Arial" w:cs="Times New Roman" w:hint="default"/>
        <w:b w:val="0"/>
        <w:i w:val="0"/>
        <w:caps w:val="0"/>
        <w:sz w:val="20"/>
        <w:szCs w:val="20"/>
      </w:rPr>
    </w:lvl>
    <w:lvl w:ilvl="2">
      <w:start w:val="1"/>
      <w:numFmt w:val="decimal"/>
      <w:pStyle w:val="Numbering3"/>
      <w:lvlText w:val="%1.%2.%3"/>
      <w:lvlJc w:val="left"/>
      <w:pPr>
        <w:tabs>
          <w:tab w:val="num" w:pos="2517"/>
        </w:tabs>
        <w:ind w:left="2517" w:hanging="1077"/>
      </w:pPr>
      <w:rPr>
        <w:rFonts w:ascii="Arial" w:hAnsi="Arial" w:cs="Times New Roman" w:hint="default"/>
        <w:b w:val="0"/>
        <w:i w:val="0"/>
        <w:sz w:val="20"/>
        <w:szCs w:val="20"/>
      </w:rPr>
    </w:lvl>
    <w:lvl w:ilvl="3">
      <w:start w:val="1"/>
      <w:numFmt w:val="decimal"/>
      <w:pStyle w:val="Numbering4"/>
      <w:lvlText w:val="%1.%2.%3.%4"/>
      <w:lvlJc w:val="left"/>
      <w:pPr>
        <w:tabs>
          <w:tab w:val="num" w:pos="3788"/>
        </w:tabs>
        <w:ind w:left="3788" w:hanging="1271"/>
      </w:pPr>
      <w:rPr>
        <w:rFonts w:ascii="Arial" w:hAnsi="Arial" w:cs="Times New Roman" w:hint="default"/>
        <w:b w:val="0"/>
        <w:i w:val="0"/>
        <w:sz w:val="20"/>
        <w:szCs w:val="20"/>
      </w:rPr>
    </w:lvl>
    <w:lvl w:ilvl="4">
      <w:start w:val="1"/>
      <w:numFmt w:val="lowerLetter"/>
      <w:pStyle w:val="Numbering5"/>
      <w:lvlText w:val="(%5)"/>
      <w:lvlJc w:val="left"/>
      <w:pPr>
        <w:tabs>
          <w:tab w:val="num" w:pos="1440"/>
        </w:tabs>
        <w:ind w:left="1440" w:hanging="720"/>
      </w:pPr>
      <w:rPr>
        <w:rFonts w:ascii="Arial" w:hAnsi="Arial" w:cs="Times New Roman" w:hint="default"/>
        <w:b w:val="0"/>
        <w:i w:val="0"/>
        <w:sz w:val="20"/>
        <w:szCs w:val="20"/>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36" w15:restartNumberingAfterBreak="0">
    <w:nsid w:val="7E1D6308"/>
    <w:multiLevelType w:val="hybridMultilevel"/>
    <w:tmpl w:val="0BD2F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4"/>
  </w:num>
  <w:num w:numId="4">
    <w:abstractNumId w:val="14"/>
  </w:num>
  <w:num w:numId="5">
    <w:abstractNumId w:val="1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2"/>
  </w:num>
  <w:num w:numId="11">
    <w:abstractNumId w:val="10"/>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7"/>
  </w:num>
  <w:num w:numId="15">
    <w:abstractNumId w:val="8"/>
  </w:num>
  <w:num w:numId="16">
    <w:abstractNumId w:val="34"/>
  </w:num>
  <w:num w:numId="17">
    <w:abstractNumId w:val="36"/>
  </w:num>
  <w:num w:numId="18">
    <w:abstractNumId w:val="11"/>
  </w:num>
  <w:num w:numId="19">
    <w:abstractNumId w:val="30"/>
  </w:num>
  <w:num w:numId="20">
    <w:abstractNumId w:val="29"/>
  </w:num>
  <w:num w:numId="21">
    <w:abstractNumId w:val="17"/>
  </w:num>
  <w:num w:numId="22">
    <w:abstractNumId w:val="21"/>
  </w:num>
  <w:num w:numId="23">
    <w:abstractNumId w:val="23"/>
    <w:lvlOverride w:ilvl="1">
      <w:lvl w:ilvl="1">
        <w:start w:val="1"/>
        <w:numFmt w:val="decimal"/>
        <w:pStyle w:val="Schedule1"/>
        <w:suff w:val="nothing"/>
        <w:lvlText w:val="Schedule %2"/>
        <w:lvlJc w:val="left"/>
        <w:pPr>
          <w:ind w:left="5170" w:firstLine="0"/>
        </w:pPr>
        <w:rPr>
          <w:rFonts w:ascii="Arial Bold" w:hAnsi="Arial Bold" w:cs="Arial" w:hint="default"/>
          <w:b/>
          <w:i w:val="0"/>
          <w:caps w:val="0"/>
          <w:sz w:val="22"/>
          <w:szCs w:val="22"/>
        </w:rPr>
      </w:lvl>
    </w:lvlOverride>
    <w:lvlOverride w:ilvl="2">
      <w:lvl w:ilvl="2">
        <w:start w:val="1"/>
        <w:numFmt w:val="decimal"/>
        <w:pStyle w:val="Part"/>
        <w:suff w:val="nothing"/>
        <w:lvlText w:val="Part %3"/>
        <w:lvlJc w:val="left"/>
        <w:pPr>
          <w:ind w:left="1021" w:hanging="1021"/>
        </w:pPr>
        <w:rPr>
          <w:rFonts w:ascii="Arial" w:hAnsi="Arial" w:cs="Arial" w:hint="default"/>
          <w:b/>
          <w:i w:val="0"/>
          <w:sz w:val="22"/>
          <w:szCs w:val="22"/>
        </w:rPr>
      </w:lvl>
    </w:lvlOverride>
    <w:lvlOverride w:ilvl="3">
      <w:lvl w:ilvl="3">
        <w:start w:val="1"/>
        <w:numFmt w:val="decimal"/>
        <w:pStyle w:val="Sch1Heading"/>
        <w:lvlText w:val="%4."/>
        <w:lvlJc w:val="left"/>
        <w:pPr>
          <w:ind w:left="1021" w:hanging="1021"/>
        </w:pPr>
        <w:rPr>
          <w:rFonts w:ascii="Arial" w:hAnsi="Arial" w:cs="Arial" w:hint="default"/>
          <w:b w:val="0"/>
          <w:i w:val="0"/>
          <w:sz w:val="22"/>
          <w:szCs w:val="22"/>
        </w:rPr>
      </w:lvl>
    </w:lvlOverride>
    <w:lvlOverride w:ilvl="4">
      <w:lvl w:ilvl="4">
        <w:start w:val="1"/>
        <w:numFmt w:val="decimal"/>
        <w:pStyle w:val="Sch2Heading"/>
        <w:lvlText w:val="%4.%5"/>
        <w:lvlJc w:val="left"/>
        <w:pPr>
          <w:ind w:left="1021" w:hanging="1021"/>
        </w:pPr>
        <w:rPr>
          <w:rFonts w:ascii="Arial" w:hAnsi="Arial" w:cs="Arial" w:hint="default"/>
          <w:b w:val="0"/>
          <w:i w:val="0"/>
          <w:sz w:val="22"/>
          <w:szCs w:val="22"/>
        </w:rPr>
      </w:lvl>
    </w:lvlOverride>
    <w:lvlOverride w:ilvl="5">
      <w:lvl w:ilvl="5">
        <w:start w:val="1"/>
        <w:numFmt w:val="decimal"/>
        <w:pStyle w:val="Sch3Heading"/>
        <w:lvlText w:val="%4.%5.%6"/>
        <w:lvlJc w:val="left"/>
        <w:pPr>
          <w:ind w:left="1021" w:hanging="1021"/>
        </w:pPr>
        <w:rPr>
          <w:rFonts w:ascii="Arial" w:hAnsi="Arial" w:cs="Arial" w:hint="default"/>
          <w:b w:val="0"/>
          <w:i w:val="0"/>
          <w:sz w:val="22"/>
          <w:szCs w:val="22"/>
        </w:rPr>
      </w:lvl>
    </w:lvlOverride>
    <w:lvlOverride w:ilvl="6">
      <w:lvl w:ilvl="6">
        <w:start w:val="1"/>
        <w:numFmt w:val="decimal"/>
        <w:pStyle w:val="Sch4Number"/>
        <w:lvlText w:val="%4.%5.%6.%7"/>
        <w:lvlJc w:val="left"/>
        <w:pPr>
          <w:tabs>
            <w:tab w:val="num" w:pos="1021"/>
          </w:tabs>
          <w:ind w:left="1021" w:hanging="1021"/>
        </w:pPr>
        <w:rPr>
          <w:rFonts w:ascii="Arial" w:hAnsi="Arial" w:cs="Arial" w:hint="default"/>
          <w:sz w:val="22"/>
          <w:szCs w:val="22"/>
        </w:rPr>
      </w:lvl>
    </w:lvlOverride>
  </w:num>
  <w:num w:numId="24">
    <w:abstractNumId w:val="23"/>
  </w:num>
  <w:num w:numId="25">
    <w:abstractNumId w:val="33"/>
  </w:num>
  <w:num w:numId="26">
    <w:abstractNumId w:val="18"/>
  </w:num>
  <w:num w:numId="27">
    <w:abstractNumId w:val="28"/>
  </w:num>
  <w:num w:numId="28">
    <w:abstractNumId w:val="31"/>
  </w:num>
  <w:num w:numId="29">
    <w:abstractNumId w:val="3"/>
  </w:num>
  <w:num w:numId="30">
    <w:abstractNumId w:val="9"/>
  </w:num>
  <w:num w:numId="31">
    <w:abstractNumId w:val="16"/>
  </w:num>
  <w:num w:numId="32">
    <w:abstractNumId w:val="15"/>
  </w:num>
  <w:num w:numId="33">
    <w:abstractNumId w:val="0"/>
  </w:num>
  <w:num w:numId="34">
    <w:abstractNumId w:val="25"/>
  </w:num>
  <w:num w:numId="35">
    <w:abstractNumId w:val="2"/>
  </w:num>
  <w:num w:numId="36">
    <w:abstractNumId w:val="4"/>
  </w:num>
  <w:num w:numId="37">
    <w:abstractNumId w:val="12"/>
  </w:num>
  <w:num w:numId="38">
    <w:abstractNumId w:val="26"/>
  </w:num>
  <w:num w:numId="39">
    <w:abstractNumId w:val="19"/>
  </w:num>
  <w:num w:numId="40">
    <w:abstractNumId w:val="20"/>
  </w:num>
  <w:num w:numId="41">
    <w:abstractNumId w:val="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572"/>
    <w:rsid w:val="000255B2"/>
    <w:rsid w:val="000736BC"/>
    <w:rsid w:val="000B1A3E"/>
    <w:rsid w:val="00106277"/>
    <w:rsid w:val="00135797"/>
    <w:rsid w:val="00137586"/>
    <w:rsid w:val="001855AA"/>
    <w:rsid w:val="001866B9"/>
    <w:rsid w:val="00187966"/>
    <w:rsid w:val="001906C1"/>
    <w:rsid w:val="001A632B"/>
    <w:rsid w:val="001C4B63"/>
    <w:rsid w:val="001C542C"/>
    <w:rsid w:val="001D608A"/>
    <w:rsid w:val="001F005F"/>
    <w:rsid w:val="00212FE5"/>
    <w:rsid w:val="00224EF0"/>
    <w:rsid w:val="002A4753"/>
    <w:rsid w:val="002B3310"/>
    <w:rsid w:val="002C048D"/>
    <w:rsid w:val="002E1FEA"/>
    <w:rsid w:val="002E2166"/>
    <w:rsid w:val="002F44F8"/>
    <w:rsid w:val="002F4F6E"/>
    <w:rsid w:val="00304B3C"/>
    <w:rsid w:val="00375556"/>
    <w:rsid w:val="003C0513"/>
    <w:rsid w:val="003E0254"/>
    <w:rsid w:val="003E07E9"/>
    <w:rsid w:val="003E4286"/>
    <w:rsid w:val="0042738D"/>
    <w:rsid w:val="00432EE2"/>
    <w:rsid w:val="0046019D"/>
    <w:rsid w:val="004944F9"/>
    <w:rsid w:val="00496488"/>
    <w:rsid w:val="004D1944"/>
    <w:rsid w:val="004D4624"/>
    <w:rsid w:val="004F4EFF"/>
    <w:rsid w:val="004F66D9"/>
    <w:rsid w:val="00517951"/>
    <w:rsid w:val="005669C2"/>
    <w:rsid w:val="00591217"/>
    <w:rsid w:val="005F789F"/>
    <w:rsid w:val="00614723"/>
    <w:rsid w:val="00627F48"/>
    <w:rsid w:val="00651056"/>
    <w:rsid w:val="006602EF"/>
    <w:rsid w:val="0067289B"/>
    <w:rsid w:val="0068534F"/>
    <w:rsid w:val="006869FB"/>
    <w:rsid w:val="0070027D"/>
    <w:rsid w:val="00703FA8"/>
    <w:rsid w:val="00711B50"/>
    <w:rsid w:val="00760B5F"/>
    <w:rsid w:val="007770F4"/>
    <w:rsid w:val="007968C2"/>
    <w:rsid w:val="007B71CE"/>
    <w:rsid w:val="007D65A5"/>
    <w:rsid w:val="00884157"/>
    <w:rsid w:val="008D1558"/>
    <w:rsid w:val="008D2C7E"/>
    <w:rsid w:val="008D5EC5"/>
    <w:rsid w:val="008E75CA"/>
    <w:rsid w:val="008F7486"/>
    <w:rsid w:val="00916C8A"/>
    <w:rsid w:val="00962DA6"/>
    <w:rsid w:val="00971729"/>
    <w:rsid w:val="00985885"/>
    <w:rsid w:val="00994ABB"/>
    <w:rsid w:val="009D1074"/>
    <w:rsid w:val="009D3D6B"/>
    <w:rsid w:val="00A10FB3"/>
    <w:rsid w:val="00A11713"/>
    <w:rsid w:val="00A42833"/>
    <w:rsid w:val="00B31DA9"/>
    <w:rsid w:val="00B35384"/>
    <w:rsid w:val="00B95F1C"/>
    <w:rsid w:val="00BA65C5"/>
    <w:rsid w:val="00C021D8"/>
    <w:rsid w:val="00C51D17"/>
    <w:rsid w:val="00CB437E"/>
    <w:rsid w:val="00D353D3"/>
    <w:rsid w:val="00D57572"/>
    <w:rsid w:val="00D70508"/>
    <w:rsid w:val="00D97395"/>
    <w:rsid w:val="00DD580F"/>
    <w:rsid w:val="00E00CB8"/>
    <w:rsid w:val="00E35A19"/>
    <w:rsid w:val="00E3757D"/>
    <w:rsid w:val="00E627AC"/>
    <w:rsid w:val="00E63AAF"/>
    <w:rsid w:val="00E72848"/>
    <w:rsid w:val="00E82864"/>
    <w:rsid w:val="00E934BE"/>
    <w:rsid w:val="00EA6494"/>
    <w:rsid w:val="00EC170B"/>
    <w:rsid w:val="00ED3D22"/>
    <w:rsid w:val="00ED7CCF"/>
    <w:rsid w:val="00EE0A45"/>
    <w:rsid w:val="00EE0C08"/>
    <w:rsid w:val="00EE4CA7"/>
    <w:rsid w:val="00F054D6"/>
    <w:rsid w:val="00F25CCB"/>
    <w:rsid w:val="00FB11D7"/>
    <w:rsid w:val="00FC35BD"/>
    <w:rsid w:val="00FF29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892429"/>
  <w15:docId w15:val="{B92BE8DD-A11A-4BA3-9948-FDB28FEB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44F8"/>
    <w:pPr>
      <w:jc w:val="both"/>
    </w:pPr>
    <w:rPr>
      <w:rFonts w:asciiTheme="majorHAnsi" w:hAnsiTheme="majorHAnsi"/>
    </w:rPr>
  </w:style>
  <w:style w:type="paragraph" w:styleId="Heading1">
    <w:name w:val="heading 1"/>
    <w:basedOn w:val="Normal"/>
    <w:next w:val="Normal"/>
    <w:link w:val="Heading1Char"/>
    <w:qFormat/>
    <w:rsid w:val="002F44F8"/>
    <w:pPr>
      <w:keepNext/>
      <w:spacing w:before="240" w:after="60" w:line="240" w:lineRule="auto"/>
      <w:outlineLvl w:val="0"/>
    </w:pPr>
    <w:rPr>
      <w:rFonts w:eastAsia="Times New Roman" w:cs="Times New Roman"/>
      <w:b/>
      <w:bCs/>
      <w:color w:val="002060"/>
      <w:kern w:val="32"/>
      <w:sz w:val="28"/>
      <w:szCs w:val="32"/>
      <w:lang w:val="en-US"/>
    </w:rPr>
  </w:style>
  <w:style w:type="paragraph" w:styleId="Heading2">
    <w:name w:val="heading 2"/>
    <w:basedOn w:val="Normal"/>
    <w:next w:val="Normal"/>
    <w:link w:val="Heading2Char"/>
    <w:qFormat/>
    <w:rsid w:val="002F44F8"/>
    <w:pPr>
      <w:keepNext/>
      <w:spacing w:before="160" w:after="120" w:line="240" w:lineRule="auto"/>
      <w:ind w:left="306" w:hanging="306"/>
      <w:outlineLvl w:val="1"/>
    </w:pPr>
    <w:rPr>
      <w:rFonts w:eastAsia="Times New Roman" w:cs="Times New Roman"/>
      <w:b/>
      <w:sz w:val="28"/>
      <w:szCs w:val="20"/>
    </w:rPr>
  </w:style>
  <w:style w:type="paragraph" w:styleId="Heading3">
    <w:name w:val="heading 3"/>
    <w:basedOn w:val="Normal"/>
    <w:next w:val="Normal"/>
    <w:link w:val="Heading3Char"/>
    <w:qFormat/>
    <w:rsid w:val="00D57572"/>
    <w:pPr>
      <w:keepNext/>
      <w:spacing w:before="240" w:after="60" w:line="240" w:lineRule="auto"/>
      <w:outlineLvl w:val="2"/>
    </w:pPr>
    <w:rPr>
      <w:rFonts w:ascii="Verdana" w:eastAsia="Times New Roman" w:hAnsi="Verdana" w:cs="Arial"/>
      <w:b/>
      <w:bCs/>
      <w:sz w:val="20"/>
      <w:szCs w:val="26"/>
    </w:rPr>
  </w:style>
  <w:style w:type="paragraph" w:styleId="Heading4">
    <w:name w:val="heading 4"/>
    <w:basedOn w:val="Normal"/>
    <w:next w:val="Normal"/>
    <w:link w:val="Heading4Char"/>
    <w:qFormat/>
    <w:rsid w:val="00D57572"/>
    <w:pPr>
      <w:keepNext/>
      <w:widowControl w:val="0"/>
      <w:numPr>
        <w:numId w:val="1"/>
      </w:numPr>
      <w:tabs>
        <w:tab w:val="clear" w:pos="360"/>
        <w:tab w:val="num" w:pos="1560"/>
        <w:tab w:val="right" w:pos="9071"/>
      </w:tabs>
      <w:autoSpaceDE w:val="0"/>
      <w:autoSpaceDN w:val="0"/>
      <w:adjustRightInd w:val="0"/>
      <w:spacing w:before="60" w:after="0" w:line="240" w:lineRule="auto"/>
      <w:ind w:left="1560"/>
      <w:outlineLvl w:val="3"/>
    </w:pPr>
    <w:rPr>
      <w:rFonts w:ascii="Verdana" w:eastAsia="Times New Roman" w:hAnsi="Verdana" w:cs="Times New Roman"/>
      <w:color w:val="000000"/>
      <w:sz w:val="20"/>
      <w:szCs w:val="20"/>
      <w:lang w:val="en-US"/>
    </w:rPr>
  </w:style>
  <w:style w:type="paragraph" w:styleId="Heading5">
    <w:name w:val="heading 5"/>
    <w:basedOn w:val="Normal"/>
    <w:next w:val="Normal"/>
    <w:link w:val="Heading5Char"/>
    <w:qFormat/>
    <w:rsid w:val="00D57572"/>
    <w:pPr>
      <w:keepNext/>
      <w:spacing w:before="60" w:after="0" w:line="240" w:lineRule="auto"/>
      <w:outlineLvl w:val="4"/>
    </w:pPr>
    <w:rPr>
      <w:rFonts w:ascii="Verdana" w:eastAsia="Times New Roman" w:hAnsi="Verdana" w:cs="Times New Roman"/>
      <w:b/>
      <w:sz w:val="20"/>
      <w:szCs w:val="20"/>
      <w:u w:val="single"/>
      <w:lang w:val="en-US"/>
    </w:rPr>
  </w:style>
  <w:style w:type="paragraph" w:styleId="Heading6">
    <w:name w:val="heading 6"/>
    <w:basedOn w:val="Normal"/>
    <w:next w:val="Normal"/>
    <w:link w:val="Heading6Char"/>
    <w:qFormat/>
    <w:rsid w:val="00D57572"/>
    <w:pPr>
      <w:keepNext/>
      <w:widowControl w:val="0"/>
      <w:autoSpaceDE w:val="0"/>
      <w:autoSpaceDN w:val="0"/>
      <w:adjustRightInd w:val="0"/>
      <w:spacing w:before="60" w:after="0" w:line="240" w:lineRule="auto"/>
      <w:ind w:left="709"/>
      <w:outlineLvl w:val="5"/>
    </w:pPr>
    <w:rPr>
      <w:rFonts w:ascii="Verdana" w:eastAsia="Times New Roman" w:hAnsi="Verdana" w:cs="Times New Roman"/>
      <w:b/>
      <w:color w:val="000000"/>
      <w:sz w:val="20"/>
      <w:szCs w:val="20"/>
    </w:rPr>
  </w:style>
  <w:style w:type="paragraph" w:styleId="Heading7">
    <w:name w:val="heading 7"/>
    <w:basedOn w:val="Normal"/>
    <w:next w:val="Normal"/>
    <w:link w:val="Heading7Char"/>
    <w:qFormat/>
    <w:rsid w:val="00D57572"/>
    <w:pPr>
      <w:keepNext/>
      <w:spacing w:before="60" w:after="0" w:line="240" w:lineRule="auto"/>
      <w:outlineLvl w:val="6"/>
    </w:pPr>
    <w:rPr>
      <w:rFonts w:ascii="Verdana" w:eastAsia="Times New Roman" w:hAnsi="Verdana" w:cs="Times New Roman"/>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44F8"/>
    <w:rPr>
      <w:rFonts w:asciiTheme="majorHAnsi" w:eastAsia="Times New Roman" w:hAnsiTheme="majorHAnsi" w:cs="Times New Roman"/>
      <w:b/>
      <w:bCs/>
      <w:color w:val="002060"/>
      <w:kern w:val="32"/>
      <w:sz w:val="28"/>
      <w:szCs w:val="32"/>
      <w:lang w:val="en-US"/>
    </w:rPr>
  </w:style>
  <w:style w:type="character" w:customStyle="1" w:styleId="Heading2Char">
    <w:name w:val="Heading 2 Char"/>
    <w:basedOn w:val="DefaultParagraphFont"/>
    <w:link w:val="Heading2"/>
    <w:rsid w:val="002F44F8"/>
    <w:rPr>
      <w:rFonts w:asciiTheme="majorHAnsi" w:eastAsia="Times New Roman" w:hAnsiTheme="majorHAnsi" w:cs="Times New Roman"/>
      <w:b/>
      <w:sz w:val="28"/>
      <w:szCs w:val="20"/>
    </w:rPr>
  </w:style>
  <w:style w:type="character" w:customStyle="1" w:styleId="Heading3Char">
    <w:name w:val="Heading 3 Char"/>
    <w:basedOn w:val="DefaultParagraphFont"/>
    <w:link w:val="Heading3"/>
    <w:rsid w:val="00D57572"/>
    <w:rPr>
      <w:rFonts w:ascii="Verdana" w:eastAsia="Times New Roman" w:hAnsi="Verdana" w:cs="Arial"/>
      <w:b/>
      <w:bCs/>
      <w:sz w:val="20"/>
      <w:szCs w:val="26"/>
    </w:rPr>
  </w:style>
  <w:style w:type="character" w:customStyle="1" w:styleId="Heading4Char">
    <w:name w:val="Heading 4 Char"/>
    <w:basedOn w:val="DefaultParagraphFont"/>
    <w:link w:val="Heading4"/>
    <w:rsid w:val="00D57572"/>
    <w:rPr>
      <w:rFonts w:ascii="Verdana" w:eastAsia="Times New Roman" w:hAnsi="Verdana" w:cs="Times New Roman"/>
      <w:color w:val="000000"/>
      <w:sz w:val="20"/>
      <w:szCs w:val="20"/>
      <w:lang w:val="en-US"/>
    </w:rPr>
  </w:style>
  <w:style w:type="character" w:customStyle="1" w:styleId="Heading5Char">
    <w:name w:val="Heading 5 Char"/>
    <w:basedOn w:val="DefaultParagraphFont"/>
    <w:link w:val="Heading5"/>
    <w:rsid w:val="00D57572"/>
    <w:rPr>
      <w:rFonts w:ascii="Verdana" w:eastAsia="Times New Roman" w:hAnsi="Verdana" w:cs="Times New Roman"/>
      <w:b/>
      <w:sz w:val="20"/>
      <w:szCs w:val="20"/>
      <w:u w:val="single"/>
      <w:lang w:val="en-US"/>
    </w:rPr>
  </w:style>
  <w:style w:type="character" w:customStyle="1" w:styleId="Heading6Char">
    <w:name w:val="Heading 6 Char"/>
    <w:basedOn w:val="DefaultParagraphFont"/>
    <w:link w:val="Heading6"/>
    <w:rsid w:val="00D57572"/>
    <w:rPr>
      <w:rFonts w:ascii="Verdana" w:eastAsia="Times New Roman" w:hAnsi="Verdana" w:cs="Times New Roman"/>
      <w:b/>
      <w:color w:val="000000"/>
      <w:sz w:val="20"/>
      <w:szCs w:val="20"/>
    </w:rPr>
  </w:style>
  <w:style w:type="character" w:customStyle="1" w:styleId="Heading7Char">
    <w:name w:val="Heading 7 Char"/>
    <w:basedOn w:val="DefaultParagraphFont"/>
    <w:link w:val="Heading7"/>
    <w:rsid w:val="00D57572"/>
    <w:rPr>
      <w:rFonts w:ascii="Verdana" w:eastAsia="Times New Roman" w:hAnsi="Verdana" w:cs="Times New Roman"/>
      <w:bCs/>
      <w:i/>
      <w:iCs/>
      <w:sz w:val="20"/>
      <w:szCs w:val="20"/>
    </w:rPr>
  </w:style>
  <w:style w:type="paragraph" w:styleId="TOC1">
    <w:name w:val="toc 1"/>
    <w:basedOn w:val="Normal"/>
    <w:next w:val="Normal"/>
    <w:autoRedefine/>
    <w:uiPriority w:val="39"/>
    <w:rsid w:val="00D57572"/>
    <w:pPr>
      <w:tabs>
        <w:tab w:val="right" w:leader="dot" w:pos="9061"/>
      </w:tabs>
      <w:spacing w:before="60" w:after="0" w:line="240" w:lineRule="auto"/>
    </w:pPr>
    <w:rPr>
      <w:rFonts w:ascii="Verdana" w:eastAsia="Times New Roman" w:hAnsi="Verdana" w:cs="Times New Roman"/>
      <w:b/>
      <w:bCs/>
      <w:sz w:val="28"/>
      <w:szCs w:val="20"/>
    </w:rPr>
  </w:style>
  <w:style w:type="paragraph" w:styleId="TOC2">
    <w:name w:val="toc 2"/>
    <w:basedOn w:val="Normal"/>
    <w:next w:val="Normal"/>
    <w:autoRedefine/>
    <w:uiPriority w:val="39"/>
    <w:rsid w:val="00D57572"/>
    <w:pPr>
      <w:tabs>
        <w:tab w:val="left" w:pos="800"/>
        <w:tab w:val="right" w:leader="dot" w:pos="9629"/>
      </w:tabs>
      <w:spacing w:before="60" w:after="0" w:line="240" w:lineRule="auto"/>
      <w:ind w:left="200"/>
    </w:pPr>
    <w:rPr>
      <w:rFonts w:ascii="Verdana" w:eastAsia="Times New Roman" w:hAnsi="Verdana" w:cs="Times New Roman"/>
      <w:noProof/>
      <w:sz w:val="20"/>
      <w:szCs w:val="28"/>
    </w:rPr>
  </w:style>
  <w:style w:type="paragraph" w:styleId="TOC3">
    <w:name w:val="toc 3"/>
    <w:basedOn w:val="Normal"/>
    <w:next w:val="Normal"/>
    <w:autoRedefine/>
    <w:uiPriority w:val="39"/>
    <w:rsid w:val="00D57572"/>
    <w:pPr>
      <w:spacing w:before="60" w:after="0" w:line="240" w:lineRule="auto"/>
      <w:ind w:left="400"/>
    </w:pPr>
    <w:rPr>
      <w:rFonts w:ascii="Verdana" w:eastAsia="Times New Roman" w:hAnsi="Verdana" w:cs="Times New Roman"/>
      <w:sz w:val="20"/>
      <w:szCs w:val="20"/>
    </w:rPr>
  </w:style>
  <w:style w:type="paragraph" w:styleId="TOC4">
    <w:name w:val="toc 4"/>
    <w:basedOn w:val="Normal"/>
    <w:next w:val="Normal"/>
    <w:autoRedefine/>
    <w:semiHidden/>
    <w:rsid w:val="00D57572"/>
    <w:pPr>
      <w:spacing w:before="60" w:after="0" w:line="240" w:lineRule="auto"/>
      <w:ind w:left="600"/>
    </w:pPr>
    <w:rPr>
      <w:rFonts w:ascii="Verdana" w:eastAsia="Times New Roman" w:hAnsi="Verdana" w:cs="Times New Roman"/>
      <w:sz w:val="20"/>
      <w:szCs w:val="20"/>
    </w:rPr>
  </w:style>
  <w:style w:type="paragraph" w:styleId="TOC5">
    <w:name w:val="toc 5"/>
    <w:basedOn w:val="Normal"/>
    <w:next w:val="Normal"/>
    <w:autoRedefine/>
    <w:semiHidden/>
    <w:rsid w:val="00D57572"/>
    <w:pPr>
      <w:spacing w:before="60" w:after="0" w:line="240" w:lineRule="auto"/>
      <w:ind w:left="800"/>
    </w:pPr>
    <w:rPr>
      <w:rFonts w:ascii="Verdana" w:eastAsia="Times New Roman" w:hAnsi="Verdana" w:cs="Times New Roman"/>
      <w:sz w:val="20"/>
      <w:szCs w:val="20"/>
    </w:rPr>
  </w:style>
  <w:style w:type="paragraph" w:styleId="TOC6">
    <w:name w:val="toc 6"/>
    <w:basedOn w:val="Normal"/>
    <w:next w:val="Normal"/>
    <w:autoRedefine/>
    <w:semiHidden/>
    <w:rsid w:val="00D57572"/>
    <w:pPr>
      <w:spacing w:before="60" w:after="0" w:line="240" w:lineRule="auto"/>
      <w:ind w:left="1000"/>
    </w:pPr>
    <w:rPr>
      <w:rFonts w:ascii="Verdana" w:eastAsia="Times New Roman" w:hAnsi="Verdana" w:cs="Times New Roman"/>
      <w:sz w:val="20"/>
      <w:szCs w:val="20"/>
    </w:rPr>
  </w:style>
  <w:style w:type="paragraph" w:styleId="TOC7">
    <w:name w:val="toc 7"/>
    <w:basedOn w:val="Normal"/>
    <w:next w:val="Normal"/>
    <w:autoRedefine/>
    <w:semiHidden/>
    <w:rsid w:val="00D57572"/>
    <w:pPr>
      <w:spacing w:before="60" w:after="0" w:line="240" w:lineRule="auto"/>
      <w:ind w:left="1200"/>
    </w:pPr>
    <w:rPr>
      <w:rFonts w:ascii="Verdana" w:eastAsia="Times New Roman" w:hAnsi="Verdana" w:cs="Times New Roman"/>
      <w:sz w:val="20"/>
      <w:szCs w:val="20"/>
    </w:rPr>
  </w:style>
  <w:style w:type="paragraph" w:styleId="TOC8">
    <w:name w:val="toc 8"/>
    <w:basedOn w:val="Normal"/>
    <w:next w:val="Normal"/>
    <w:autoRedefine/>
    <w:semiHidden/>
    <w:rsid w:val="00D57572"/>
    <w:pPr>
      <w:spacing w:before="60" w:after="0" w:line="240" w:lineRule="auto"/>
      <w:ind w:left="1400"/>
    </w:pPr>
    <w:rPr>
      <w:rFonts w:ascii="Verdana" w:eastAsia="Times New Roman" w:hAnsi="Verdana" w:cs="Times New Roman"/>
      <w:sz w:val="20"/>
      <w:szCs w:val="20"/>
    </w:rPr>
  </w:style>
  <w:style w:type="paragraph" w:styleId="TOC9">
    <w:name w:val="toc 9"/>
    <w:basedOn w:val="Normal"/>
    <w:next w:val="Normal"/>
    <w:autoRedefine/>
    <w:semiHidden/>
    <w:rsid w:val="00D57572"/>
    <w:pPr>
      <w:spacing w:before="60" w:after="0" w:line="240" w:lineRule="auto"/>
      <w:ind w:left="1600"/>
    </w:pPr>
    <w:rPr>
      <w:rFonts w:ascii="Verdana" w:eastAsia="Times New Roman" w:hAnsi="Verdana" w:cs="Times New Roman"/>
      <w:sz w:val="20"/>
      <w:szCs w:val="20"/>
    </w:rPr>
  </w:style>
  <w:style w:type="character" w:styleId="FollowedHyperlink">
    <w:name w:val="FollowedHyperlink"/>
    <w:basedOn w:val="DefaultParagraphFont"/>
    <w:rsid w:val="00D57572"/>
    <w:rPr>
      <w:color w:val="800080"/>
      <w:u w:val="single"/>
    </w:rPr>
  </w:style>
  <w:style w:type="character" w:styleId="Hyperlink">
    <w:name w:val="Hyperlink"/>
    <w:basedOn w:val="DefaultParagraphFont"/>
    <w:uiPriority w:val="99"/>
    <w:rsid w:val="00D57572"/>
    <w:rPr>
      <w:color w:val="0000FF"/>
      <w:u w:val="single"/>
    </w:rPr>
  </w:style>
  <w:style w:type="character" w:styleId="CommentReference">
    <w:name w:val="annotation reference"/>
    <w:basedOn w:val="DefaultParagraphFont"/>
    <w:semiHidden/>
    <w:rsid w:val="00D57572"/>
    <w:rPr>
      <w:sz w:val="16"/>
    </w:rPr>
  </w:style>
  <w:style w:type="paragraph" w:styleId="CommentText">
    <w:name w:val="annotation text"/>
    <w:basedOn w:val="Normal"/>
    <w:link w:val="CommentTextChar"/>
    <w:semiHidden/>
    <w:rsid w:val="00D57572"/>
    <w:pPr>
      <w:widowControl w:val="0"/>
      <w:spacing w:after="0" w:line="240" w:lineRule="auto"/>
    </w:pPr>
    <w:rPr>
      <w:rFonts w:ascii="Verdana" w:eastAsia="Times New Roman" w:hAnsi="Verdana" w:cs="Times New Roman"/>
      <w:snapToGrid w:val="0"/>
      <w:sz w:val="20"/>
      <w:szCs w:val="20"/>
    </w:rPr>
  </w:style>
  <w:style w:type="character" w:customStyle="1" w:styleId="CommentTextChar">
    <w:name w:val="Comment Text Char"/>
    <w:basedOn w:val="DefaultParagraphFont"/>
    <w:link w:val="CommentText"/>
    <w:semiHidden/>
    <w:rsid w:val="00D57572"/>
    <w:rPr>
      <w:rFonts w:ascii="Verdana" w:eastAsia="Times New Roman" w:hAnsi="Verdana" w:cs="Times New Roman"/>
      <w:snapToGrid w:val="0"/>
      <w:sz w:val="20"/>
      <w:szCs w:val="20"/>
    </w:rPr>
  </w:style>
  <w:style w:type="paragraph" w:styleId="BodyTextIndent">
    <w:name w:val="Body Text Indent"/>
    <w:basedOn w:val="Normal"/>
    <w:link w:val="BodyTextIndentChar"/>
    <w:rsid w:val="00D57572"/>
    <w:pPr>
      <w:widowControl w:val="0"/>
      <w:tabs>
        <w:tab w:val="left" w:pos="720"/>
        <w:tab w:val="left" w:pos="1440"/>
        <w:tab w:val="left" w:pos="2160"/>
        <w:tab w:val="left" w:pos="2880"/>
        <w:tab w:val="left" w:pos="3600"/>
        <w:tab w:val="right" w:pos="6048"/>
      </w:tabs>
      <w:suppressAutoHyphens/>
      <w:spacing w:after="0" w:line="240" w:lineRule="auto"/>
      <w:ind w:left="1440" w:hanging="1440"/>
    </w:pPr>
    <w:rPr>
      <w:rFonts w:ascii="Verdana" w:eastAsia="Times New Roman" w:hAnsi="Verdana" w:cs="Times New Roman"/>
      <w:snapToGrid w:val="0"/>
      <w:sz w:val="20"/>
      <w:szCs w:val="20"/>
    </w:rPr>
  </w:style>
  <w:style w:type="character" w:customStyle="1" w:styleId="BodyTextIndentChar">
    <w:name w:val="Body Text Indent Char"/>
    <w:basedOn w:val="DefaultParagraphFont"/>
    <w:link w:val="BodyTextIndent"/>
    <w:rsid w:val="00D57572"/>
    <w:rPr>
      <w:rFonts w:ascii="Verdana" w:eastAsia="Times New Roman" w:hAnsi="Verdana" w:cs="Times New Roman"/>
      <w:snapToGrid w:val="0"/>
      <w:sz w:val="20"/>
      <w:szCs w:val="20"/>
    </w:rPr>
  </w:style>
  <w:style w:type="paragraph" w:styleId="BodyTextIndent2">
    <w:name w:val="Body Text Indent 2"/>
    <w:basedOn w:val="Normal"/>
    <w:link w:val="BodyTextIndent2Char"/>
    <w:rsid w:val="00D57572"/>
    <w:pPr>
      <w:widowControl w:val="0"/>
      <w:tabs>
        <w:tab w:val="left" w:pos="720"/>
        <w:tab w:val="left" w:pos="1440"/>
        <w:tab w:val="left" w:pos="2160"/>
        <w:tab w:val="left" w:pos="2880"/>
        <w:tab w:val="left" w:pos="3600"/>
        <w:tab w:val="left" w:pos="4320"/>
        <w:tab w:val="right" w:pos="6048"/>
      </w:tabs>
      <w:suppressAutoHyphens/>
      <w:spacing w:after="0" w:line="240" w:lineRule="auto"/>
      <w:ind w:left="720" w:hanging="720"/>
    </w:pPr>
    <w:rPr>
      <w:rFonts w:ascii="Verdana" w:eastAsia="Times New Roman" w:hAnsi="Verdana" w:cs="Times New Roman"/>
      <w:snapToGrid w:val="0"/>
      <w:sz w:val="20"/>
      <w:szCs w:val="20"/>
    </w:rPr>
  </w:style>
  <w:style w:type="character" w:customStyle="1" w:styleId="BodyTextIndent2Char">
    <w:name w:val="Body Text Indent 2 Char"/>
    <w:basedOn w:val="DefaultParagraphFont"/>
    <w:link w:val="BodyTextIndent2"/>
    <w:rsid w:val="00D57572"/>
    <w:rPr>
      <w:rFonts w:ascii="Verdana" w:eastAsia="Times New Roman" w:hAnsi="Verdana" w:cs="Times New Roman"/>
      <w:snapToGrid w:val="0"/>
      <w:sz w:val="20"/>
      <w:szCs w:val="20"/>
    </w:rPr>
  </w:style>
  <w:style w:type="paragraph" w:styleId="Header">
    <w:name w:val="header"/>
    <w:basedOn w:val="Normal"/>
    <w:link w:val="HeaderChar"/>
    <w:rsid w:val="00D57572"/>
    <w:pPr>
      <w:tabs>
        <w:tab w:val="center" w:pos="4153"/>
        <w:tab w:val="right" w:pos="8306"/>
      </w:tabs>
      <w:spacing w:before="60" w:after="0" w:line="240" w:lineRule="auto"/>
    </w:pPr>
    <w:rPr>
      <w:rFonts w:ascii="Verdana" w:eastAsia="Times New Roman" w:hAnsi="Verdana" w:cs="Times New Roman"/>
      <w:sz w:val="20"/>
      <w:szCs w:val="20"/>
    </w:rPr>
  </w:style>
  <w:style w:type="character" w:customStyle="1" w:styleId="HeaderChar">
    <w:name w:val="Header Char"/>
    <w:basedOn w:val="DefaultParagraphFont"/>
    <w:link w:val="Header"/>
    <w:rsid w:val="00D57572"/>
    <w:rPr>
      <w:rFonts w:ascii="Verdana" w:eastAsia="Times New Roman" w:hAnsi="Verdana" w:cs="Times New Roman"/>
      <w:sz w:val="20"/>
      <w:szCs w:val="20"/>
    </w:rPr>
  </w:style>
  <w:style w:type="paragraph" w:customStyle="1" w:styleId="List1">
    <w:name w:val="List1"/>
    <w:basedOn w:val="Normal"/>
    <w:rsid w:val="00D57572"/>
    <w:pPr>
      <w:numPr>
        <w:ilvl w:val="3"/>
        <w:numId w:val="2"/>
      </w:numPr>
      <w:tabs>
        <w:tab w:val="clear" w:pos="2111"/>
        <w:tab w:val="num" w:pos="851"/>
      </w:tabs>
      <w:suppressAutoHyphens/>
      <w:spacing w:after="60" w:line="240" w:lineRule="auto"/>
      <w:ind w:left="851" w:hanging="425"/>
    </w:pPr>
    <w:rPr>
      <w:rFonts w:ascii="Verdana" w:eastAsia="Times New Roman" w:hAnsi="Verdana" w:cs="Times New Roman"/>
      <w:sz w:val="20"/>
      <w:szCs w:val="20"/>
    </w:rPr>
  </w:style>
  <w:style w:type="paragraph" w:styleId="Footer">
    <w:name w:val="footer"/>
    <w:basedOn w:val="Normal"/>
    <w:link w:val="FooterChar"/>
    <w:rsid w:val="00D57572"/>
    <w:pPr>
      <w:tabs>
        <w:tab w:val="center" w:pos="4153"/>
        <w:tab w:val="right" w:pos="8306"/>
      </w:tabs>
      <w:spacing w:before="60" w:after="0" w:line="240" w:lineRule="auto"/>
    </w:pPr>
    <w:rPr>
      <w:rFonts w:ascii="Verdana" w:eastAsia="Times New Roman" w:hAnsi="Verdana" w:cs="Times New Roman"/>
      <w:sz w:val="20"/>
      <w:szCs w:val="20"/>
    </w:rPr>
  </w:style>
  <w:style w:type="character" w:customStyle="1" w:styleId="FooterChar">
    <w:name w:val="Footer Char"/>
    <w:basedOn w:val="DefaultParagraphFont"/>
    <w:link w:val="Footer"/>
    <w:rsid w:val="00D57572"/>
    <w:rPr>
      <w:rFonts w:ascii="Verdana" w:eastAsia="Times New Roman" w:hAnsi="Verdana" w:cs="Times New Roman"/>
      <w:sz w:val="20"/>
      <w:szCs w:val="20"/>
    </w:rPr>
  </w:style>
  <w:style w:type="character" w:styleId="PageNumber">
    <w:name w:val="page number"/>
    <w:basedOn w:val="DefaultParagraphFont"/>
    <w:rsid w:val="00D57572"/>
  </w:style>
  <w:style w:type="paragraph" w:styleId="BodyText">
    <w:name w:val="Body Text"/>
    <w:basedOn w:val="Normal"/>
    <w:link w:val="BodyTextChar"/>
    <w:rsid w:val="00D57572"/>
    <w:pPr>
      <w:numPr>
        <w:ilvl w:val="2"/>
        <w:numId w:val="2"/>
      </w:numPr>
      <w:tabs>
        <w:tab w:val="left" w:pos="1134"/>
      </w:tabs>
      <w:spacing w:before="60" w:after="120" w:line="240" w:lineRule="auto"/>
    </w:pPr>
    <w:rPr>
      <w:rFonts w:ascii="Verdana" w:eastAsia="Times New Roman" w:hAnsi="Verdana" w:cs="Times New Roman"/>
      <w:bCs/>
      <w:iCs/>
      <w:color w:val="000000"/>
      <w:sz w:val="20"/>
      <w:szCs w:val="20"/>
    </w:rPr>
  </w:style>
  <w:style w:type="character" w:customStyle="1" w:styleId="BodyTextChar">
    <w:name w:val="Body Text Char"/>
    <w:basedOn w:val="DefaultParagraphFont"/>
    <w:link w:val="BodyText"/>
    <w:rsid w:val="00D57572"/>
    <w:rPr>
      <w:rFonts w:ascii="Verdana" w:eastAsia="Times New Roman" w:hAnsi="Verdana" w:cs="Times New Roman"/>
      <w:bCs/>
      <w:iCs/>
      <w:color w:val="000000"/>
      <w:sz w:val="20"/>
      <w:szCs w:val="20"/>
    </w:rPr>
  </w:style>
  <w:style w:type="paragraph" w:styleId="BalloonText">
    <w:name w:val="Balloon Text"/>
    <w:basedOn w:val="Normal"/>
    <w:link w:val="BalloonTextChar"/>
    <w:semiHidden/>
    <w:rsid w:val="00D57572"/>
    <w:pPr>
      <w:spacing w:before="60" w:after="0" w:line="240" w:lineRule="auto"/>
    </w:pPr>
    <w:rPr>
      <w:rFonts w:ascii="Verdana" w:eastAsia="Times New Roman" w:hAnsi="Verdana" w:cs="Tahoma"/>
      <w:sz w:val="16"/>
      <w:szCs w:val="16"/>
    </w:rPr>
  </w:style>
  <w:style w:type="character" w:customStyle="1" w:styleId="BalloonTextChar">
    <w:name w:val="Balloon Text Char"/>
    <w:basedOn w:val="DefaultParagraphFont"/>
    <w:link w:val="BalloonText"/>
    <w:semiHidden/>
    <w:rsid w:val="00D57572"/>
    <w:rPr>
      <w:rFonts w:ascii="Verdana" w:eastAsia="Times New Roman" w:hAnsi="Verdana" w:cs="Tahoma"/>
      <w:sz w:val="16"/>
      <w:szCs w:val="16"/>
    </w:rPr>
  </w:style>
  <w:style w:type="paragraph" w:styleId="BodyText2">
    <w:name w:val="Body Text 2"/>
    <w:basedOn w:val="Normal"/>
    <w:link w:val="BodyText2Char"/>
    <w:rsid w:val="00D57572"/>
    <w:pPr>
      <w:widowControl w:val="0"/>
      <w:autoSpaceDE w:val="0"/>
      <w:autoSpaceDN w:val="0"/>
      <w:adjustRightInd w:val="0"/>
      <w:spacing w:before="120" w:after="0" w:line="240" w:lineRule="auto"/>
    </w:pPr>
    <w:rPr>
      <w:rFonts w:ascii="Verdana" w:eastAsia="Times New Roman" w:hAnsi="Verdana" w:cs="Times New Roman"/>
      <w:b/>
      <w:sz w:val="20"/>
      <w:szCs w:val="20"/>
    </w:rPr>
  </w:style>
  <w:style w:type="character" w:customStyle="1" w:styleId="BodyText2Char">
    <w:name w:val="Body Text 2 Char"/>
    <w:basedOn w:val="DefaultParagraphFont"/>
    <w:link w:val="BodyText2"/>
    <w:rsid w:val="00D57572"/>
    <w:rPr>
      <w:rFonts w:ascii="Verdana" w:eastAsia="Times New Roman" w:hAnsi="Verdana" w:cs="Times New Roman"/>
      <w:b/>
      <w:sz w:val="20"/>
      <w:szCs w:val="20"/>
    </w:rPr>
  </w:style>
  <w:style w:type="paragraph" w:styleId="NormalWeb">
    <w:name w:val="Normal (Web)"/>
    <w:basedOn w:val="Normal"/>
    <w:link w:val="NormalWebChar"/>
    <w:uiPriority w:val="99"/>
    <w:rsid w:val="00D57572"/>
    <w:pPr>
      <w:spacing w:before="100" w:beforeAutospacing="1" w:after="100" w:afterAutospacing="1" w:line="240" w:lineRule="auto"/>
    </w:pPr>
    <w:rPr>
      <w:rFonts w:ascii="Verdana" w:eastAsia="Times New Roman" w:hAnsi="Verdana" w:cs="Times New Roman"/>
      <w:szCs w:val="24"/>
      <w:lang w:val="en-US"/>
    </w:rPr>
  </w:style>
  <w:style w:type="paragraph" w:customStyle="1" w:styleId="StyleBodyTextArial11pt">
    <w:name w:val="Style Body Text + Arial 11 pt"/>
    <w:basedOn w:val="BodyText"/>
    <w:link w:val="StyleBodyTextArial11ptChar"/>
    <w:rsid w:val="00D57572"/>
  </w:style>
  <w:style w:type="character" w:customStyle="1" w:styleId="StyleBodyTextArial11ptChar">
    <w:name w:val="Style Body Text + Arial 11 pt Char"/>
    <w:basedOn w:val="BodyTextChar"/>
    <w:link w:val="StyleBodyTextArial11pt"/>
    <w:rsid w:val="00D57572"/>
    <w:rPr>
      <w:rFonts w:ascii="Verdana" w:eastAsia="Times New Roman" w:hAnsi="Verdana" w:cs="Times New Roman"/>
      <w:bCs/>
      <w:iCs/>
      <w:color w:val="000000"/>
      <w:sz w:val="20"/>
      <w:szCs w:val="20"/>
    </w:rPr>
  </w:style>
  <w:style w:type="paragraph" w:styleId="CommentSubject">
    <w:name w:val="annotation subject"/>
    <w:basedOn w:val="CommentText"/>
    <w:next w:val="CommentText"/>
    <w:link w:val="CommentSubjectChar"/>
    <w:semiHidden/>
    <w:rsid w:val="00D57572"/>
    <w:pPr>
      <w:widowControl/>
      <w:spacing w:before="60"/>
    </w:pPr>
    <w:rPr>
      <w:b/>
      <w:bCs/>
      <w:snapToGrid/>
    </w:rPr>
  </w:style>
  <w:style w:type="character" w:customStyle="1" w:styleId="CommentSubjectChar">
    <w:name w:val="Comment Subject Char"/>
    <w:basedOn w:val="CommentTextChar"/>
    <w:link w:val="CommentSubject"/>
    <w:semiHidden/>
    <w:rsid w:val="00D57572"/>
    <w:rPr>
      <w:rFonts w:ascii="Verdana" w:eastAsia="Times New Roman" w:hAnsi="Verdana" w:cs="Times New Roman"/>
      <w:b/>
      <w:bCs/>
      <w:snapToGrid/>
      <w:sz w:val="20"/>
      <w:szCs w:val="20"/>
    </w:rPr>
  </w:style>
  <w:style w:type="paragraph" w:customStyle="1" w:styleId="StyleHeading2Left0cmFirstline0cm">
    <w:name w:val="Style Heading 2 + Left:  0 cm First line:  0 cm"/>
    <w:basedOn w:val="Heading2"/>
    <w:rsid w:val="00D57572"/>
    <w:pPr>
      <w:ind w:left="0" w:firstLine="0"/>
    </w:pPr>
    <w:rPr>
      <w:bCs/>
      <w:iCs/>
      <w:sz w:val="24"/>
    </w:rPr>
  </w:style>
  <w:style w:type="paragraph" w:customStyle="1" w:styleId="StylelistVerdana">
    <w:name w:val="Style list + Verdana"/>
    <w:basedOn w:val="List1"/>
    <w:rsid w:val="00D57572"/>
    <w:pPr>
      <w:tabs>
        <w:tab w:val="clear" w:pos="851"/>
        <w:tab w:val="num" w:pos="3240"/>
      </w:tabs>
    </w:pPr>
  </w:style>
  <w:style w:type="paragraph" w:customStyle="1" w:styleId="StylelistVerdana1">
    <w:name w:val="Style list + Verdana1"/>
    <w:basedOn w:val="List1"/>
    <w:rsid w:val="00D57572"/>
    <w:pPr>
      <w:tabs>
        <w:tab w:val="clear" w:pos="851"/>
        <w:tab w:val="left" w:pos="1134"/>
      </w:tabs>
      <w:ind w:left="1135" w:hanging="284"/>
    </w:pPr>
  </w:style>
  <w:style w:type="numbering" w:customStyle="1" w:styleId="StyleBulletedBoldPatternClearWhite">
    <w:name w:val="Style Bulleted Bold Pattern: Clear (White)"/>
    <w:basedOn w:val="NoList"/>
    <w:rsid w:val="00D57572"/>
    <w:pPr>
      <w:numPr>
        <w:numId w:val="3"/>
      </w:numPr>
    </w:pPr>
  </w:style>
  <w:style w:type="character" w:customStyle="1" w:styleId="NormalWebChar">
    <w:name w:val="Normal (Web) Char"/>
    <w:basedOn w:val="DefaultParagraphFont"/>
    <w:link w:val="NormalWeb"/>
    <w:rsid w:val="00D57572"/>
    <w:rPr>
      <w:rFonts w:ascii="Verdana" w:eastAsia="Times New Roman" w:hAnsi="Verdana" w:cs="Times New Roman"/>
      <w:szCs w:val="24"/>
      <w:lang w:val="en-US"/>
    </w:rPr>
  </w:style>
  <w:style w:type="paragraph" w:customStyle="1" w:styleId="StyleNormalWebBoldBluePatternClearWhite">
    <w:name w:val="Style Normal (Web) + Bold Blue Pattern: Clear (White)"/>
    <w:basedOn w:val="NormalWeb"/>
    <w:link w:val="StyleNormalWebBoldBluePatternClearWhiteChar"/>
    <w:rsid w:val="00D57572"/>
    <w:rPr>
      <w:b/>
      <w:bCs/>
      <w:color w:val="0000FF"/>
      <w:u w:val="single"/>
      <w:shd w:val="clear" w:color="auto" w:fill="FFFFFF"/>
    </w:rPr>
  </w:style>
  <w:style w:type="character" w:customStyle="1" w:styleId="StyleNormalWebBoldBluePatternClearWhiteChar">
    <w:name w:val="Style Normal (Web) + Bold Blue Pattern: Clear (White) Char"/>
    <w:basedOn w:val="NormalWebChar"/>
    <w:link w:val="StyleNormalWebBoldBluePatternClearWhite"/>
    <w:rsid w:val="00D57572"/>
    <w:rPr>
      <w:rFonts w:ascii="Verdana" w:eastAsia="Times New Roman" w:hAnsi="Verdana" w:cs="Times New Roman"/>
      <w:b/>
      <w:bCs/>
      <w:color w:val="0000FF"/>
      <w:szCs w:val="24"/>
      <w:u w:val="single"/>
      <w:lang w:val="en-US"/>
    </w:rPr>
  </w:style>
  <w:style w:type="paragraph" w:styleId="Revision">
    <w:name w:val="Revision"/>
    <w:hidden/>
    <w:uiPriority w:val="99"/>
    <w:semiHidden/>
    <w:rsid w:val="00D57572"/>
    <w:pPr>
      <w:spacing w:after="0" w:line="240" w:lineRule="auto"/>
    </w:pPr>
    <w:rPr>
      <w:rFonts w:ascii="Verdana" w:eastAsia="Times New Roman" w:hAnsi="Verdana" w:cs="Times New Roman"/>
      <w:sz w:val="20"/>
      <w:szCs w:val="20"/>
    </w:rPr>
  </w:style>
  <w:style w:type="paragraph" w:styleId="ListParagraph">
    <w:name w:val="List Paragraph"/>
    <w:basedOn w:val="Normal"/>
    <w:uiPriority w:val="34"/>
    <w:qFormat/>
    <w:rsid w:val="00E63AAF"/>
    <w:pPr>
      <w:ind w:left="720"/>
      <w:contextualSpacing/>
    </w:pPr>
  </w:style>
  <w:style w:type="paragraph" w:customStyle="1" w:styleId="TOCMARK1">
    <w:name w:val="TOC MARK 1"/>
    <w:basedOn w:val="Normal"/>
    <w:rsid w:val="00C021D8"/>
    <w:pPr>
      <w:keepNext/>
      <w:numPr>
        <w:numId w:val="12"/>
      </w:numPr>
      <w:spacing w:before="240" w:after="0" w:line="360" w:lineRule="auto"/>
      <w:outlineLvl w:val="0"/>
    </w:pPr>
    <w:rPr>
      <w:rFonts w:eastAsia="Times New Roman" w:cs="Times New Roman"/>
      <w:b/>
      <w:caps/>
      <w:sz w:val="20"/>
    </w:rPr>
  </w:style>
  <w:style w:type="paragraph" w:customStyle="1" w:styleId="Numbering2">
    <w:name w:val="Numbering 2"/>
    <w:basedOn w:val="Normal"/>
    <w:rsid w:val="00C021D8"/>
    <w:pPr>
      <w:numPr>
        <w:ilvl w:val="1"/>
        <w:numId w:val="12"/>
      </w:numPr>
      <w:spacing w:before="120" w:after="0" w:line="360" w:lineRule="auto"/>
      <w:outlineLvl w:val="1"/>
    </w:pPr>
    <w:rPr>
      <w:rFonts w:eastAsia="Times New Roman" w:cs="Times New Roman"/>
      <w:color w:val="000000"/>
      <w:sz w:val="20"/>
      <w:szCs w:val="20"/>
    </w:rPr>
  </w:style>
  <w:style w:type="paragraph" w:customStyle="1" w:styleId="Numbering3">
    <w:name w:val="Numbering 3"/>
    <w:basedOn w:val="Normal"/>
    <w:rsid w:val="00C021D8"/>
    <w:pPr>
      <w:numPr>
        <w:ilvl w:val="2"/>
        <w:numId w:val="12"/>
      </w:numPr>
      <w:spacing w:before="120" w:after="0" w:line="360" w:lineRule="auto"/>
      <w:outlineLvl w:val="2"/>
    </w:pPr>
    <w:rPr>
      <w:rFonts w:eastAsia="Times New Roman" w:cs="Times New Roman"/>
      <w:sz w:val="20"/>
      <w:szCs w:val="20"/>
    </w:rPr>
  </w:style>
  <w:style w:type="paragraph" w:customStyle="1" w:styleId="Numbering4">
    <w:name w:val="Numbering 4"/>
    <w:basedOn w:val="Normal"/>
    <w:rsid w:val="00C021D8"/>
    <w:pPr>
      <w:numPr>
        <w:ilvl w:val="3"/>
        <w:numId w:val="12"/>
      </w:numPr>
      <w:tabs>
        <w:tab w:val="left" w:pos="2261"/>
      </w:tabs>
      <w:spacing w:before="120" w:after="0" w:line="360" w:lineRule="auto"/>
      <w:outlineLvl w:val="3"/>
    </w:pPr>
    <w:rPr>
      <w:rFonts w:eastAsia="Times New Roman" w:cs="Times New Roman"/>
      <w:sz w:val="20"/>
      <w:szCs w:val="20"/>
    </w:rPr>
  </w:style>
  <w:style w:type="paragraph" w:customStyle="1" w:styleId="Numbering5">
    <w:name w:val="Numbering 5"/>
    <w:basedOn w:val="Normal"/>
    <w:rsid w:val="00C021D8"/>
    <w:pPr>
      <w:numPr>
        <w:ilvl w:val="4"/>
        <w:numId w:val="12"/>
      </w:numPr>
      <w:spacing w:before="120" w:after="0" w:line="360" w:lineRule="auto"/>
      <w:outlineLvl w:val="4"/>
    </w:pPr>
    <w:rPr>
      <w:rFonts w:eastAsia="Times New Roman" w:cs="Times New Roman"/>
      <w:sz w:val="20"/>
      <w:szCs w:val="20"/>
    </w:rPr>
  </w:style>
  <w:style w:type="table" w:styleId="TableGrid">
    <w:name w:val="Table Grid"/>
    <w:basedOn w:val="TableNormal"/>
    <w:uiPriority w:val="59"/>
    <w:rsid w:val="00517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770F4"/>
    <w:pPr>
      <w:keepLines/>
      <w:spacing w:after="0" w:line="259" w:lineRule="auto"/>
      <w:outlineLvl w:val="9"/>
    </w:pPr>
    <w:rPr>
      <w:rFonts w:eastAsiaTheme="majorEastAsia" w:cstheme="majorBidi"/>
      <w:b w:val="0"/>
      <w:bCs w:val="0"/>
      <w:color w:val="2E74B5" w:themeColor="accent1" w:themeShade="BF"/>
      <w:kern w:val="0"/>
      <w:sz w:val="32"/>
    </w:rPr>
  </w:style>
  <w:style w:type="numbering" w:customStyle="1" w:styleId="ScheduleNumbering">
    <w:name w:val="Schedule Numbering"/>
    <w:uiPriority w:val="99"/>
    <w:rsid w:val="00135797"/>
    <w:pPr>
      <w:numPr>
        <w:numId w:val="22"/>
      </w:numPr>
    </w:pPr>
  </w:style>
  <w:style w:type="paragraph" w:customStyle="1" w:styleId="Schedule1">
    <w:name w:val="Schedule 1"/>
    <w:basedOn w:val="BodyText"/>
    <w:next w:val="Part"/>
    <w:uiPriority w:val="14"/>
    <w:rsid w:val="00135797"/>
    <w:pPr>
      <w:pageBreakBefore/>
      <w:numPr>
        <w:ilvl w:val="1"/>
        <w:numId w:val="23"/>
      </w:numPr>
      <w:tabs>
        <w:tab w:val="clear" w:pos="1134"/>
        <w:tab w:val="left" w:pos="1021"/>
        <w:tab w:val="left" w:pos="2041"/>
        <w:tab w:val="left" w:pos="3062"/>
        <w:tab w:val="left" w:pos="4082"/>
        <w:tab w:val="left" w:pos="5103"/>
        <w:tab w:val="left" w:pos="6124"/>
      </w:tabs>
      <w:spacing w:before="0" w:after="220"/>
      <w:ind w:left="0"/>
      <w:jc w:val="center"/>
      <w:outlineLvl w:val="0"/>
    </w:pPr>
    <w:rPr>
      <w:rFonts w:ascii="Arial" w:eastAsiaTheme="minorHAnsi" w:hAnsi="Arial" w:cstheme="minorBidi"/>
      <w:b/>
      <w:bCs w:val="0"/>
      <w:iCs w:val="0"/>
      <w:caps/>
      <w:color w:val="auto"/>
      <w:sz w:val="22"/>
      <w:szCs w:val="22"/>
    </w:rPr>
  </w:style>
  <w:style w:type="paragraph" w:customStyle="1" w:styleId="Part">
    <w:name w:val="Part"/>
    <w:basedOn w:val="Schedule1"/>
    <w:next w:val="Sch1Heading"/>
    <w:uiPriority w:val="15"/>
    <w:rsid w:val="00135797"/>
    <w:pPr>
      <w:pageBreakBefore w:val="0"/>
      <w:numPr>
        <w:ilvl w:val="2"/>
      </w:numPr>
      <w:ind w:left="0" w:firstLine="0"/>
      <w:outlineLvl w:val="1"/>
    </w:pPr>
    <w:rPr>
      <w:caps w:val="0"/>
    </w:rPr>
  </w:style>
  <w:style w:type="paragraph" w:customStyle="1" w:styleId="Sch1Heading">
    <w:name w:val="Sch 1 Heading"/>
    <w:basedOn w:val="Part"/>
    <w:uiPriority w:val="16"/>
    <w:rsid w:val="00135797"/>
    <w:pPr>
      <w:numPr>
        <w:ilvl w:val="3"/>
      </w:numPr>
      <w:ind w:left="851" w:hanging="851"/>
      <w:jc w:val="both"/>
      <w:outlineLvl w:val="9"/>
    </w:pPr>
    <w:rPr>
      <w:rFonts w:ascii="Arial Bold" w:hAnsi="Arial Bold"/>
    </w:rPr>
  </w:style>
  <w:style w:type="paragraph" w:customStyle="1" w:styleId="Sch2Heading">
    <w:name w:val="Sch 2 Heading"/>
    <w:basedOn w:val="Sch1Heading"/>
    <w:uiPriority w:val="16"/>
    <w:rsid w:val="00135797"/>
    <w:pPr>
      <w:numPr>
        <w:ilvl w:val="4"/>
      </w:numPr>
    </w:pPr>
    <w:rPr>
      <w:caps/>
    </w:rPr>
  </w:style>
  <w:style w:type="paragraph" w:customStyle="1" w:styleId="Sch3Heading">
    <w:name w:val="Sch 3 Heading"/>
    <w:basedOn w:val="Sch2Heading"/>
    <w:uiPriority w:val="16"/>
    <w:rsid w:val="00135797"/>
    <w:pPr>
      <w:numPr>
        <w:ilvl w:val="5"/>
      </w:numPr>
    </w:pPr>
  </w:style>
  <w:style w:type="paragraph" w:customStyle="1" w:styleId="Sch2Number">
    <w:name w:val="Sch 2 Number"/>
    <w:basedOn w:val="Sch2Heading"/>
    <w:uiPriority w:val="17"/>
    <w:rsid w:val="00135797"/>
    <w:pPr>
      <w:ind w:left="851" w:hanging="851"/>
    </w:pPr>
    <w:rPr>
      <w:rFonts w:ascii="Arial" w:hAnsi="Arial"/>
      <w:b w:val="0"/>
      <w:caps w:val="0"/>
    </w:rPr>
  </w:style>
  <w:style w:type="paragraph" w:customStyle="1" w:styleId="Sch4Number">
    <w:name w:val="Sch 4 Number"/>
    <w:basedOn w:val="Normal"/>
    <w:uiPriority w:val="17"/>
    <w:rsid w:val="00135797"/>
    <w:pPr>
      <w:numPr>
        <w:ilvl w:val="6"/>
        <w:numId w:val="23"/>
      </w:numPr>
      <w:tabs>
        <w:tab w:val="left" w:pos="2041"/>
        <w:tab w:val="left" w:pos="3062"/>
        <w:tab w:val="left" w:pos="4082"/>
        <w:tab w:val="left" w:pos="5103"/>
        <w:tab w:val="left" w:pos="6124"/>
      </w:tabs>
      <w:spacing w:after="220" w:line="240" w:lineRule="auto"/>
    </w:pPr>
  </w:style>
  <w:style w:type="paragraph" w:customStyle="1" w:styleId="Sch5Number">
    <w:name w:val="Sch 5 Number"/>
    <w:basedOn w:val="Sch4Number"/>
    <w:uiPriority w:val="17"/>
    <w:rsid w:val="00135797"/>
    <w:pPr>
      <w:numPr>
        <w:ilvl w:val="7"/>
      </w:numPr>
    </w:pPr>
  </w:style>
  <w:style w:type="paragraph" w:customStyle="1" w:styleId="Sch6Number">
    <w:name w:val="Sch 6 Number"/>
    <w:basedOn w:val="Sch5Number"/>
    <w:uiPriority w:val="17"/>
    <w:rsid w:val="00135797"/>
    <w:pPr>
      <w:numPr>
        <w:ilvl w:val="8"/>
      </w:numPr>
    </w:pPr>
  </w:style>
  <w:style w:type="paragraph" w:customStyle="1" w:styleId="Schedule">
    <w:name w:val="Schedule"/>
    <w:basedOn w:val="BodyText"/>
    <w:next w:val="Part"/>
    <w:uiPriority w:val="14"/>
    <w:rsid w:val="00135797"/>
    <w:pPr>
      <w:numPr>
        <w:ilvl w:val="0"/>
        <w:numId w:val="23"/>
      </w:numPr>
      <w:tabs>
        <w:tab w:val="clear" w:pos="1134"/>
        <w:tab w:val="left" w:pos="1021"/>
        <w:tab w:val="left" w:pos="2041"/>
        <w:tab w:val="left" w:pos="3062"/>
        <w:tab w:val="left" w:pos="4082"/>
        <w:tab w:val="left" w:pos="5103"/>
        <w:tab w:val="left" w:pos="6124"/>
      </w:tabs>
      <w:spacing w:before="0" w:after="220"/>
      <w:jc w:val="center"/>
      <w:outlineLvl w:val="0"/>
    </w:pPr>
    <w:rPr>
      <w:rFonts w:ascii="Arial" w:eastAsiaTheme="minorHAnsi" w:hAnsi="Arial" w:cstheme="minorBidi"/>
      <w:b/>
      <w:bCs w:val="0"/>
      <w:iCs w:val="0"/>
      <w:caps/>
      <w:color w:val="auto"/>
      <w:sz w:val="22"/>
      <w:szCs w:val="22"/>
    </w:rPr>
  </w:style>
  <w:style w:type="paragraph" w:customStyle="1" w:styleId="Default">
    <w:name w:val="Default"/>
    <w:rsid w:val="00135797"/>
    <w:pPr>
      <w:autoSpaceDE w:val="0"/>
      <w:autoSpaceDN w:val="0"/>
      <w:adjustRightInd w:val="0"/>
      <w:spacing w:after="0" w:line="240" w:lineRule="auto"/>
    </w:pPr>
    <w:rPr>
      <w:rFonts w:ascii="Arial" w:hAnsi="Arial" w:cs="Arial"/>
      <w:color w:val="000000"/>
      <w:sz w:val="24"/>
      <w:szCs w:val="24"/>
    </w:rPr>
  </w:style>
  <w:style w:type="paragraph" w:customStyle="1" w:styleId="plantin11">
    <w:name w:val="plantin 11"/>
    <w:basedOn w:val="Normal"/>
    <w:rsid w:val="00B31DA9"/>
    <w:pPr>
      <w:numPr>
        <w:numId w:val="25"/>
      </w:numPr>
      <w:spacing w:after="0" w:line="288" w:lineRule="atLeast"/>
    </w:pPr>
    <w:rPr>
      <w:rFonts w:ascii="Plantin" w:eastAsia="Times New Roman" w:hAnsi="Plantin" w:cs="Times New Roman"/>
      <w:szCs w:val="20"/>
    </w:rPr>
  </w:style>
  <w:style w:type="paragraph" w:styleId="FootnoteText">
    <w:name w:val="footnote text"/>
    <w:basedOn w:val="Normal"/>
    <w:link w:val="FootnoteTextChar"/>
    <w:uiPriority w:val="99"/>
    <w:unhideWhenUsed/>
    <w:rsid w:val="00651056"/>
    <w:pPr>
      <w:spacing w:after="0" w:line="240" w:lineRule="auto"/>
    </w:pPr>
    <w:rPr>
      <w:sz w:val="24"/>
      <w:szCs w:val="24"/>
    </w:rPr>
  </w:style>
  <w:style w:type="character" w:customStyle="1" w:styleId="FootnoteTextChar">
    <w:name w:val="Footnote Text Char"/>
    <w:basedOn w:val="DefaultParagraphFont"/>
    <w:link w:val="FootnoteText"/>
    <w:uiPriority w:val="99"/>
    <w:rsid w:val="00651056"/>
    <w:rPr>
      <w:rFonts w:ascii="Arial" w:hAnsi="Arial"/>
      <w:sz w:val="24"/>
      <w:szCs w:val="24"/>
    </w:rPr>
  </w:style>
  <w:style w:type="character" w:styleId="FootnoteReference">
    <w:name w:val="footnote reference"/>
    <w:basedOn w:val="DefaultParagraphFont"/>
    <w:uiPriority w:val="99"/>
    <w:unhideWhenUsed/>
    <w:rsid w:val="00651056"/>
    <w:rPr>
      <w:vertAlign w:val="superscript"/>
    </w:rPr>
  </w:style>
  <w:style w:type="character" w:styleId="Strong">
    <w:name w:val="Strong"/>
    <w:basedOn w:val="DefaultParagraphFont"/>
    <w:uiPriority w:val="22"/>
    <w:qFormat/>
    <w:rsid w:val="009D3D6B"/>
    <w:rPr>
      <w:b/>
      <w:bCs/>
    </w:rPr>
  </w:style>
  <w:style w:type="character" w:customStyle="1" w:styleId="apple-converted-space">
    <w:name w:val="apple-converted-space"/>
    <w:basedOn w:val="DefaultParagraphFont"/>
    <w:rsid w:val="009D3D6B"/>
  </w:style>
  <w:style w:type="character" w:styleId="UnresolvedMention">
    <w:name w:val="Unresolved Mention"/>
    <w:basedOn w:val="DefaultParagraphFont"/>
    <w:uiPriority w:val="99"/>
    <w:semiHidden/>
    <w:unhideWhenUsed/>
    <w:rsid w:val="00E35A1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113724">
      <w:bodyDiv w:val="1"/>
      <w:marLeft w:val="0"/>
      <w:marRight w:val="0"/>
      <w:marTop w:val="0"/>
      <w:marBottom w:val="0"/>
      <w:divBdr>
        <w:top w:val="none" w:sz="0" w:space="0" w:color="auto"/>
        <w:left w:val="none" w:sz="0" w:space="0" w:color="auto"/>
        <w:bottom w:val="none" w:sz="0" w:space="0" w:color="auto"/>
        <w:right w:val="none" w:sz="0" w:space="0" w:color="auto"/>
      </w:divBdr>
    </w:div>
    <w:div w:id="793599597">
      <w:bodyDiv w:val="1"/>
      <w:marLeft w:val="0"/>
      <w:marRight w:val="0"/>
      <w:marTop w:val="0"/>
      <w:marBottom w:val="0"/>
      <w:divBdr>
        <w:top w:val="none" w:sz="0" w:space="0" w:color="auto"/>
        <w:left w:val="none" w:sz="0" w:space="0" w:color="auto"/>
        <w:bottom w:val="none" w:sz="0" w:space="0" w:color="auto"/>
        <w:right w:val="none" w:sz="0" w:space="0" w:color="auto"/>
      </w:divBdr>
    </w:div>
    <w:div w:id="939994480">
      <w:bodyDiv w:val="1"/>
      <w:marLeft w:val="0"/>
      <w:marRight w:val="0"/>
      <w:marTop w:val="0"/>
      <w:marBottom w:val="0"/>
      <w:divBdr>
        <w:top w:val="none" w:sz="0" w:space="0" w:color="auto"/>
        <w:left w:val="none" w:sz="0" w:space="0" w:color="auto"/>
        <w:bottom w:val="none" w:sz="0" w:space="0" w:color="auto"/>
        <w:right w:val="none" w:sz="0" w:space="0" w:color="auto"/>
      </w:divBdr>
    </w:div>
    <w:div w:id="1082752606">
      <w:bodyDiv w:val="1"/>
      <w:marLeft w:val="0"/>
      <w:marRight w:val="0"/>
      <w:marTop w:val="0"/>
      <w:marBottom w:val="0"/>
      <w:divBdr>
        <w:top w:val="none" w:sz="0" w:space="0" w:color="auto"/>
        <w:left w:val="none" w:sz="0" w:space="0" w:color="auto"/>
        <w:bottom w:val="none" w:sz="0" w:space="0" w:color="auto"/>
        <w:right w:val="none" w:sz="0" w:space="0" w:color="auto"/>
      </w:divBdr>
      <w:divsChild>
        <w:div w:id="633021561">
          <w:marLeft w:val="0"/>
          <w:marRight w:val="0"/>
          <w:marTop w:val="0"/>
          <w:marBottom w:val="0"/>
          <w:divBdr>
            <w:top w:val="none" w:sz="0" w:space="0" w:color="auto"/>
            <w:left w:val="none" w:sz="0" w:space="0" w:color="auto"/>
            <w:bottom w:val="none" w:sz="0" w:space="0" w:color="auto"/>
            <w:right w:val="none" w:sz="0" w:space="0" w:color="auto"/>
          </w:divBdr>
          <w:divsChild>
            <w:div w:id="875696103">
              <w:marLeft w:val="0"/>
              <w:marRight w:val="0"/>
              <w:marTop w:val="0"/>
              <w:marBottom w:val="0"/>
              <w:divBdr>
                <w:top w:val="none" w:sz="0" w:space="0" w:color="auto"/>
                <w:left w:val="none" w:sz="0" w:space="0" w:color="auto"/>
                <w:bottom w:val="none" w:sz="0" w:space="0" w:color="auto"/>
                <w:right w:val="none" w:sz="0" w:space="0" w:color="auto"/>
              </w:divBdr>
              <w:divsChild>
                <w:div w:id="1634213217">
                  <w:marLeft w:val="0"/>
                  <w:marRight w:val="0"/>
                  <w:marTop w:val="0"/>
                  <w:marBottom w:val="0"/>
                  <w:divBdr>
                    <w:top w:val="none" w:sz="0" w:space="0" w:color="auto"/>
                    <w:left w:val="none" w:sz="0" w:space="0" w:color="auto"/>
                    <w:bottom w:val="none" w:sz="0" w:space="0" w:color="auto"/>
                    <w:right w:val="none" w:sz="0" w:space="0" w:color="auto"/>
                  </w:divBdr>
                  <w:divsChild>
                    <w:div w:id="1918204826">
                      <w:marLeft w:val="0"/>
                      <w:marRight w:val="0"/>
                      <w:marTop w:val="0"/>
                      <w:marBottom w:val="0"/>
                      <w:divBdr>
                        <w:top w:val="none" w:sz="0" w:space="0" w:color="auto"/>
                        <w:left w:val="none" w:sz="0" w:space="0" w:color="auto"/>
                        <w:bottom w:val="none" w:sz="0" w:space="0" w:color="auto"/>
                        <w:right w:val="none" w:sz="0" w:space="0" w:color="auto"/>
                      </w:divBdr>
                      <w:divsChild>
                        <w:div w:id="1009412093">
                          <w:marLeft w:val="0"/>
                          <w:marRight w:val="0"/>
                          <w:marTop w:val="0"/>
                          <w:marBottom w:val="0"/>
                          <w:divBdr>
                            <w:top w:val="none" w:sz="0" w:space="0" w:color="auto"/>
                            <w:left w:val="none" w:sz="0" w:space="0" w:color="auto"/>
                            <w:bottom w:val="none" w:sz="0" w:space="0" w:color="auto"/>
                            <w:right w:val="none" w:sz="0" w:space="0" w:color="auto"/>
                          </w:divBdr>
                          <w:divsChild>
                            <w:div w:id="2106805158">
                              <w:marLeft w:val="0"/>
                              <w:marRight w:val="0"/>
                              <w:marTop w:val="0"/>
                              <w:marBottom w:val="0"/>
                              <w:divBdr>
                                <w:top w:val="none" w:sz="0" w:space="0" w:color="auto"/>
                                <w:left w:val="none" w:sz="0" w:space="0" w:color="auto"/>
                                <w:bottom w:val="none" w:sz="0" w:space="0" w:color="auto"/>
                                <w:right w:val="none" w:sz="0" w:space="0" w:color="auto"/>
                              </w:divBdr>
                              <w:divsChild>
                                <w:div w:id="1727028314">
                                  <w:marLeft w:val="0"/>
                                  <w:marRight w:val="0"/>
                                  <w:marTop w:val="0"/>
                                  <w:marBottom w:val="0"/>
                                  <w:divBdr>
                                    <w:top w:val="none" w:sz="0" w:space="0" w:color="auto"/>
                                    <w:left w:val="none" w:sz="0" w:space="0" w:color="auto"/>
                                    <w:bottom w:val="none" w:sz="0" w:space="0" w:color="auto"/>
                                    <w:right w:val="none" w:sz="0" w:space="0" w:color="auto"/>
                                  </w:divBdr>
                                  <w:divsChild>
                                    <w:div w:id="2103641504">
                                      <w:marLeft w:val="0"/>
                                      <w:marRight w:val="0"/>
                                      <w:marTop w:val="0"/>
                                      <w:marBottom w:val="0"/>
                                      <w:divBdr>
                                        <w:top w:val="none" w:sz="0" w:space="0" w:color="auto"/>
                                        <w:left w:val="none" w:sz="0" w:space="0" w:color="auto"/>
                                        <w:bottom w:val="none" w:sz="0" w:space="0" w:color="auto"/>
                                        <w:right w:val="none" w:sz="0" w:space="0" w:color="auto"/>
                                      </w:divBdr>
                                      <w:divsChild>
                                        <w:div w:id="1347630811">
                                          <w:marLeft w:val="0"/>
                                          <w:marRight w:val="0"/>
                                          <w:marTop w:val="0"/>
                                          <w:marBottom w:val="0"/>
                                          <w:divBdr>
                                            <w:top w:val="none" w:sz="0" w:space="0" w:color="auto"/>
                                            <w:left w:val="none" w:sz="0" w:space="0" w:color="auto"/>
                                            <w:bottom w:val="none" w:sz="0" w:space="0" w:color="auto"/>
                                            <w:right w:val="none" w:sz="0" w:space="0" w:color="auto"/>
                                          </w:divBdr>
                                          <w:divsChild>
                                            <w:div w:id="134285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1797023">
      <w:bodyDiv w:val="1"/>
      <w:marLeft w:val="0"/>
      <w:marRight w:val="0"/>
      <w:marTop w:val="0"/>
      <w:marBottom w:val="0"/>
      <w:divBdr>
        <w:top w:val="none" w:sz="0" w:space="0" w:color="auto"/>
        <w:left w:val="none" w:sz="0" w:space="0" w:color="auto"/>
        <w:bottom w:val="none" w:sz="0" w:space="0" w:color="auto"/>
        <w:right w:val="none" w:sz="0" w:space="0" w:color="auto"/>
      </w:divBdr>
    </w:div>
    <w:div w:id="1183284895">
      <w:bodyDiv w:val="1"/>
      <w:marLeft w:val="0"/>
      <w:marRight w:val="0"/>
      <w:marTop w:val="0"/>
      <w:marBottom w:val="0"/>
      <w:divBdr>
        <w:top w:val="none" w:sz="0" w:space="0" w:color="auto"/>
        <w:left w:val="none" w:sz="0" w:space="0" w:color="auto"/>
        <w:bottom w:val="none" w:sz="0" w:space="0" w:color="auto"/>
        <w:right w:val="none" w:sz="0" w:space="0" w:color="auto"/>
      </w:divBdr>
    </w:div>
    <w:div w:id="1570456009">
      <w:bodyDiv w:val="1"/>
      <w:marLeft w:val="0"/>
      <w:marRight w:val="0"/>
      <w:marTop w:val="0"/>
      <w:marBottom w:val="0"/>
      <w:divBdr>
        <w:top w:val="none" w:sz="0" w:space="0" w:color="auto"/>
        <w:left w:val="none" w:sz="0" w:space="0" w:color="auto"/>
        <w:bottom w:val="none" w:sz="0" w:space="0" w:color="auto"/>
        <w:right w:val="none" w:sz="0" w:space="0" w:color="auto"/>
      </w:divBdr>
    </w:div>
    <w:div w:id="1729299647">
      <w:bodyDiv w:val="1"/>
      <w:marLeft w:val="0"/>
      <w:marRight w:val="0"/>
      <w:marTop w:val="0"/>
      <w:marBottom w:val="0"/>
      <w:divBdr>
        <w:top w:val="none" w:sz="0" w:space="0" w:color="auto"/>
        <w:left w:val="none" w:sz="0" w:space="0" w:color="auto"/>
        <w:bottom w:val="none" w:sz="0" w:space="0" w:color="auto"/>
        <w:right w:val="none" w:sz="0" w:space="0" w:color="auto"/>
      </w:divBdr>
    </w:div>
    <w:div w:id="1731270262">
      <w:bodyDiv w:val="1"/>
      <w:marLeft w:val="0"/>
      <w:marRight w:val="0"/>
      <w:marTop w:val="0"/>
      <w:marBottom w:val="0"/>
      <w:divBdr>
        <w:top w:val="none" w:sz="0" w:space="0" w:color="auto"/>
        <w:left w:val="none" w:sz="0" w:space="0" w:color="auto"/>
        <w:bottom w:val="none" w:sz="0" w:space="0" w:color="auto"/>
        <w:right w:val="none" w:sz="0" w:space="0" w:color="auto"/>
      </w:divBdr>
    </w:div>
    <w:div w:id="1902985984">
      <w:bodyDiv w:val="1"/>
      <w:marLeft w:val="0"/>
      <w:marRight w:val="0"/>
      <w:marTop w:val="0"/>
      <w:marBottom w:val="0"/>
      <w:divBdr>
        <w:top w:val="none" w:sz="0" w:space="0" w:color="auto"/>
        <w:left w:val="none" w:sz="0" w:space="0" w:color="auto"/>
        <w:bottom w:val="none" w:sz="0" w:space="0" w:color="auto"/>
        <w:right w:val="none" w:sz="0" w:space="0" w:color="auto"/>
      </w:divBdr>
    </w:div>
    <w:div w:id="207076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onsu.com/feedba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cloughlin@aston.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kmsl.com/news/gdpr/" TargetMode="External"/><Relationship Id="rId4" Type="http://schemas.openxmlformats.org/officeDocument/2006/relationships/settings" Target="settings.xml"/><Relationship Id="rId9" Type="http://schemas.openxmlformats.org/officeDocument/2006/relationships/hyperlink" Target="mailto:m.mcloughlin@aston.ac.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F42EB-12DD-4E67-87B1-379FFA9EC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4851</Words>
  <Characters>27654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ASu GDPR</vt:lpstr>
    </vt:vector>
  </TitlesOfParts>
  <Company>Birmingham City University</Company>
  <LinksUpToDate>false</LinksUpToDate>
  <CharactersWithSpaces>32441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 GDPR</dc:title>
  <dc:subject/>
  <dc:creator>Max Mcloughlin</dc:creator>
  <cp:keywords/>
  <dc:description/>
  <cp:lastModifiedBy>George</cp:lastModifiedBy>
  <cp:revision>3</cp:revision>
  <cp:lastPrinted>2017-10-05T15:52:00Z</cp:lastPrinted>
  <dcterms:created xsi:type="dcterms:W3CDTF">2018-05-21T16:39:00Z</dcterms:created>
  <dcterms:modified xsi:type="dcterms:W3CDTF">2018-05-21T16:52:00Z</dcterms:modified>
</cp:coreProperties>
</file>